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3"/>
          </w:tcPr>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gridSpan w:val="2"/>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gridSpan w:val="2"/>
          </w:tcPr>
          <w:p>
            <w:pPr>
              <w:spacing w:after="0"/>
              <w:rPr>
                <w:sz w:val="17"/>
                <w:szCs w:val="17"/>
                <w:color w:val="auto"/>
              </w:rPr>
            </w:pPr>
          </w:p>
        </w:tc>
        <w:tc>
          <w:tcPr>
            <w:tcW w:w="3780" w:type="dxa"/>
            <w:vAlign w:val="bottom"/>
          </w:tcPr>
          <w:p>
            <w:pPr>
              <w:spacing w:after="0"/>
              <w:rPr>
                <w:sz w:val="17"/>
                <w:szCs w:val="17"/>
                <w:color w:val="auto"/>
              </w:rPr>
            </w:pPr>
          </w:p>
        </w:tc>
      </w:tr>
      <w:tr>
        <w:trPr>
          <w:trHeight w:val="412"/>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001-42711</w:t>
            </w:r>
          </w:p>
        </w:tc>
      </w:tr>
      <w:tr>
        <w:trPr>
          <w:trHeight w:val="20"/>
        </w:trPr>
        <w:tc>
          <w:tcPr>
            <w:tcW w:w="6240" w:type="dxa"/>
            <w:vAlign w:val="bottom"/>
            <w:gridSpan w:val="4"/>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434"/>
        </w:trPr>
        <w:tc>
          <w:tcPr>
            <w:tcW w:w="6680" w:type="dxa"/>
            <w:vAlign w:val="bottom"/>
            <w:gridSpan w:val="5"/>
          </w:tcPr>
          <w:p>
            <w:pPr>
              <w:jc w:val="center"/>
              <w:ind w:left="4470"/>
              <w:spacing w:after="0"/>
              <w:rPr>
                <w:sz w:val="20"/>
                <w:szCs w:val="20"/>
                <w:color w:val="auto"/>
              </w:rPr>
            </w:pPr>
            <w:r>
              <w:rPr>
                <w:rFonts w:ascii="Times New Roman" w:cs="Times New Roman" w:eastAsia="Times New Roman" w:hAnsi="Times New Roman"/>
                <w:sz w:val="18"/>
                <w:szCs w:val="18"/>
                <w:b w:val="1"/>
                <w:bCs w:val="1"/>
                <w:color w:val="auto"/>
                <w:w w:val="99"/>
              </w:rPr>
              <w:t>CID HOLDCO, INC.</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34"/>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9"/>
        </w:trPr>
        <w:tc>
          <w:tcPr>
            <w:tcW w:w="6680" w:type="dxa"/>
            <w:vAlign w:val="bottom"/>
            <w:gridSpan w:val="5"/>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60" w:type="dxa"/>
            <w:vAlign w:val="bottom"/>
            <w:gridSpan w:val="4"/>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780" w:type="dxa"/>
            <w:vAlign w:val="bottom"/>
            <w:tcBorders>
              <w:top w:val="single" w:sz="8" w:color="auto"/>
            </w:tcBorders>
          </w:tcPr>
          <w:p>
            <w:pPr>
              <w:jc w:val="center"/>
              <w:ind w:right="167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680" w:type="dxa"/>
            <w:vAlign w:val="bottom"/>
            <w:gridSpan w:val="5"/>
          </w:tcPr>
          <w:p>
            <w:pPr>
              <w:jc w:val="center"/>
              <w:ind w:right="1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8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6680" w:type="dxa"/>
            <w:vAlign w:val="bottom"/>
            <w:gridSpan w:val="5"/>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5661 S Cameron St, Suite 100, Las Vegas, Nevada</w:t>
            </w:r>
          </w:p>
        </w:tc>
        <w:tc>
          <w:tcPr>
            <w:tcW w:w="4560" w:type="dxa"/>
            <w:vAlign w:val="bottom"/>
            <w:gridSpan w:val="4"/>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780" w:type="dxa"/>
            <w:vAlign w:val="bottom"/>
            <w:tcBorders>
              <w:top w:val="single" w:sz="8" w:color="auto"/>
            </w:tcBorders>
          </w:tcPr>
          <w:p>
            <w:pPr>
              <w:jc w:val="center"/>
              <w:ind w:right="16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(303) 332 4122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of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DAICW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at an exercise price of $11.50 per</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8"/>
          <w:szCs w:val="18"/>
          <w:color w:val="auto"/>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Common Stock of the registrant issued and outstanding as of November 10, 2025 was 27,773,322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SEPTEMBER 30,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9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PART 1 – FINANCIAL INFORMATION</w:t>
            </w:r>
          </w:p>
        </w:tc>
        <w:tc>
          <w:tcPr>
            <w:tcW w:w="2320" w:type="dxa"/>
            <w:vAlign w:val="bottom"/>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0" w:type="dxa"/>
            <w:vAlign w:val="bottom"/>
            <w:tcBorders>
              <w:top w:val="single" w:sz="8" w:color="0000EE"/>
            </w:tcBorders>
            <w:gridSpan w:val="2"/>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r>
      <w:tr>
        <w:trPr>
          <w:trHeight w:val="196"/>
        </w:trPr>
        <w:tc>
          <w:tcPr>
            <w:tcW w:w="30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 – Financial Statements (unaudited)</w:t>
            </w:r>
          </w:p>
        </w:tc>
        <w:tc>
          <w:tcPr>
            <w:tcW w:w="5840" w:type="dxa"/>
            <w:vAlign w:val="bottom"/>
            <w:tcBorders>
              <w:bottom w:val="single" w:sz="8" w:color="CCEEFF"/>
            </w:tcBorders>
            <w:gridSpan w:val="9"/>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(unaudited)</w:t>
            </w:r>
          </w:p>
        </w:tc>
        <w:tc>
          <w:tcPr>
            <w:tcW w:w="2320" w:type="dxa"/>
            <w:vAlign w:val="bottom"/>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76"/>
        </w:trPr>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w:t>
            </w:r>
          </w:p>
        </w:tc>
        <w:tc>
          <w:tcPr>
            <w:tcW w:w="2320" w:type="dxa"/>
            <w:vAlign w:val="bottom"/>
            <w:shd w:val="clear" w:color="auto" w:fill="CCEEFF"/>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(Deficit) (unaudited)</w:t>
            </w:r>
          </w:p>
        </w:tc>
        <w:tc>
          <w:tcPr>
            <w:tcW w:w="2320" w:type="dxa"/>
            <w:vAlign w:val="bottom"/>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76"/>
        </w:trPr>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2320" w:type="dxa"/>
            <w:vAlign w:val="bottom"/>
            <w:shd w:val="clear" w:color="auto" w:fill="CCEEFF"/>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6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2320" w:type="dxa"/>
            <w:vAlign w:val="bottom"/>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716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2. – Management’s Discussion and Analysis of Financial Condition and Results of Operations</w:t>
            </w:r>
          </w:p>
        </w:tc>
        <w:tc>
          <w:tcPr>
            <w:tcW w:w="176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89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2320" w:type="dxa"/>
            <w:vAlign w:val="bottom"/>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89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2320" w:type="dxa"/>
            <w:vAlign w:val="bottom"/>
            <w:shd w:val="clear" w:color="auto" w:fill="CCEEFF"/>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660" w:type="dxa"/>
            <w:vAlign w:val="bottom"/>
            <w:tcBorders>
              <w:top w:val="single" w:sz="8" w:color="0000EE"/>
            </w:tcBorders>
            <w:gridSpan w:val="2"/>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r>
      <w:tr>
        <w:trPr>
          <w:trHeight w:val="196"/>
        </w:trPr>
        <w:tc>
          <w:tcPr>
            <w:tcW w:w="89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 OTHER INFORMATION</w:t>
            </w:r>
          </w:p>
        </w:tc>
        <w:tc>
          <w:tcPr>
            <w:tcW w:w="2320" w:type="dxa"/>
            <w:vAlign w:val="bottom"/>
            <w:shd w:val="clear" w:color="auto" w:fill="CCEEFF"/>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660" w:type="dxa"/>
            <w:vAlign w:val="bottom"/>
            <w:tcBorders>
              <w:top w:val="single" w:sz="8" w:color="0000EE"/>
            </w:tcBorders>
            <w:gridSpan w:val="2"/>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r>
      <w:tr>
        <w:trPr>
          <w:trHeight w:val="196"/>
        </w:trPr>
        <w:tc>
          <w:tcPr>
            <w:tcW w:w="20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 – Legal Proceedings</w:t>
            </w:r>
          </w:p>
        </w:tc>
        <w:tc>
          <w:tcPr>
            <w:tcW w:w="6880" w:type="dxa"/>
            <w:vAlign w:val="bottom"/>
            <w:tcBorders>
              <w:bottom w:val="single" w:sz="8" w:color="CCEEFF"/>
            </w:tcBorders>
            <w:gridSpan w:val="14"/>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89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Item 1A. – Risk Factors</w:t>
            </w:r>
          </w:p>
        </w:tc>
        <w:tc>
          <w:tcPr>
            <w:tcW w:w="2320" w:type="dxa"/>
            <w:vAlign w:val="bottom"/>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2. – Sales of Equity Securities and Use of Proceeds</w:t>
            </w:r>
          </w:p>
        </w:tc>
        <w:tc>
          <w:tcPr>
            <w:tcW w:w="4840" w:type="dxa"/>
            <w:vAlign w:val="bottom"/>
            <w:tcBorders>
              <w:bottom w:val="single" w:sz="8" w:color="CCEEFF"/>
            </w:tcBorders>
            <w:gridSpan w:val="8"/>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380" w:type="dxa"/>
            <w:vAlign w:val="bottom"/>
            <w:gridSpan w:val="20"/>
          </w:tcPr>
          <w:p>
            <w:pPr>
              <w:ind w:left="20"/>
              <w:spacing w:after="0" w:line="176" w:lineRule="exact"/>
              <w:rPr>
                <w:sz w:val="20"/>
                <w:szCs w:val="20"/>
                <w:color w:val="auto"/>
              </w:rPr>
            </w:pPr>
            <w:r>
              <w:rPr>
                <w:rFonts w:ascii="Times New Roman" w:cs="Times New Roman" w:eastAsia="Times New Roman" w:hAnsi="Times New Roman"/>
                <w:sz w:val="18"/>
                <w:szCs w:val="18"/>
                <w:color w:val="0000EE"/>
              </w:rPr>
              <w:t>– Defaults Upon Senior Securities</w:t>
            </w:r>
          </w:p>
        </w:tc>
        <w:tc>
          <w:tcPr>
            <w:tcW w:w="2320" w:type="dxa"/>
            <w:vAlign w:val="bottom"/>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3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Mine Safety Disclosures</w:t>
            </w:r>
          </w:p>
        </w:tc>
        <w:tc>
          <w:tcPr>
            <w:tcW w:w="2320" w:type="dxa"/>
            <w:vAlign w:val="bottom"/>
            <w:shd w:val="clear" w:color="auto" w:fill="CCEEFF"/>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54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1920" w:type="dxa"/>
            <w:vAlign w:val="bottom"/>
            <w:tcBorders>
              <w:top w:val="single" w:sz="8" w:color="0000EE"/>
            </w:tcBorders>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 Other Information</w:t>
            </w:r>
          </w:p>
        </w:tc>
        <w:tc>
          <w:tcPr>
            <w:tcW w:w="6460" w:type="dxa"/>
            <w:vAlign w:val="bottom"/>
            <w:tcBorders>
              <w:top w:val="single" w:sz="8" w:color="CCEEFF"/>
            </w:tcBorders>
            <w:gridSpan w:val="13"/>
          </w:tcPr>
          <w:p>
            <w:pPr>
              <w:spacing w:after="0"/>
              <w:rPr>
                <w:sz w:val="15"/>
                <w:szCs w:val="15"/>
                <w:color w:val="auto"/>
              </w:rPr>
            </w:pPr>
          </w:p>
        </w:tc>
        <w:tc>
          <w:tcPr>
            <w:tcW w:w="2320" w:type="dxa"/>
            <w:vAlign w:val="bottom"/>
            <w:tcBorders>
              <w:top w:val="single" w:sz="8" w:color="CCEEFF"/>
            </w:tcBorders>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3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Exhibits</w:t>
            </w:r>
          </w:p>
        </w:tc>
        <w:tc>
          <w:tcPr>
            <w:tcW w:w="2320" w:type="dxa"/>
            <w:vAlign w:val="bottom"/>
            <w:shd w:val="clear" w:color="auto" w:fill="CCEEFF"/>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660" w:type="dxa"/>
            <w:vAlign w:val="bottom"/>
            <w:tcBorders>
              <w:top w:val="single" w:sz="8" w:color="0000EE"/>
            </w:tcBorders>
            <w:gridSpan w:val="2"/>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r>
      <w:tr>
        <w:trPr>
          <w:trHeight w:val="175"/>
        </w:trPr>
        <w:tc>
          <w:tcPr>
            <w:tcW w:w="89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320" w:type="dxa"/>
            <w:vAlign w:val="bottom"/>
            <w:shd w:val="clear" w:color="auto" w:fill="CCEEFF"/>
          </w:tcPr>
          <w:p>
            <w:pPr>
              <w:jc w:val="center"/>
              <w:ind w:left="133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(“Exchange Act”). All statements in this report other than historical facts are forward-looking and are based on current estimates, assumptions, trends, and projections. Statements which include the words “believes,” “seeks,” “expects,” “may,” “should,” “intends,” “likely,” “targets,” “plans,” “anticipates,” “estimates,” or the negative version of those words and similar expressions are intended to identify forward-looking statements. Numerous important factors, risks and uncertainties affect our operating results, including, without limitation, those described in our the Registration Statement on Form S-4, filed with the U.S. Securities and Exchange Commission (“SEC”) on January 15, 2025 (as amended, the “Form S-4”) and as updated in the Current Report on Form 8-K filed with the U.S. Securities and Exchange Commission on June 26, 2025 relating to the closing of our business combination with ShoulderUp Technology Acquisition Corp, a Delaware corporation, ShoulderUp Merger Sub, Inc., a Delaware corporation, SEI Merger Sub, Inc., a Delaware Corporation and SEE ID, Inc., a Nevada corporation (“Closing Form 8-K”) and in this Quarterly Report on Form 10-Q, and could cause our actual results to differ materially from the results implied by these or any other forward-looking statements made by us or on our behalf. You should pay particular attention to the important risk factors and cautionary statements described in the section of our Form S-4 and Closing Form 8-K respectively entitled “Risk Factors” and the section of this Quarterly Report on Form 10-Q entitled “Risk Factors.” You should also carefully review the cautionary statements described in the other documents we file with the SEC, specifically the Annual Report on Form 10-K, all Quarterly Reports on Form 10-Q and Current Reports on Form 8-K.</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as we cannot guarantee that future results, levels of activity, performance or achievements will meet expectations. The forward-looking statements made herein are only made as of the date hereof, and we undertake no obligation to publicly update such forward-looking statements for any reason.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8"/>
              </w:rPr>
              <w:t>PART 1 -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 (unaudited)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CID HOLDCO,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1,418,834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721,032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915,027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50,264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468,102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65,248</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744,194</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167,551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3,546,157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478,171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11,286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(ROU)</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735,871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307,892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2,660,194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1,761,396</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25,713</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12,103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3,899,949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7,446,106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3,096,772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933,306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770,276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1,119,808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75,228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246,720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taxes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3,913,668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2,772,178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1,142,643</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135,976</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36,225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8,950,164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SAFE notes,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23,334,626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1,570,572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614,126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265,413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614,126</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25,170,611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9,564,290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27,390,694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27,743,322 and 12,210,718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2,774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56,972,621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438,120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(59,093,579)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(24,733,263)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(2,118,184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(24,293,922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7,446,106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3,096,772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42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1"/>
                <w:szCs w:val="21"/>
                <w:color w:val="auto"/>
              </w:rPr>
            </w:pPr>
          </w:p>
        </w:tc>
        <w:tc>
          <w:tcPr>
            <w:tcW w:w="242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1,257,813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183,631</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488,286</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7,997</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572,558</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18,006</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290,196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685,255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2,742,753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506,886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4,184,688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1,064,461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397,135</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186,678</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972,640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459,991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1,111,895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638,584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2,564,891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1,763,170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243,230</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635,459</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1,154,857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1,501,261</w:t>
            </w: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11,738</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16,839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4,506,751</w:t>
            </w:r>
          </w:p>
        </w:tc>
        <w:tc>
          <w:tcPr>
            <w:tcW w:w="2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1,967,607</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8,893,915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4,788,883</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(4,216,555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(1,893,968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(8,208,660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(4,623,258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(328,763)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(764,446)</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(17,368,415)</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(14,227,156)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(2,726,183)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(5,728,295)</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(26,151,656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(14,227,156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(4,216,555</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(2,658,414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(34,360,316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(18,850,414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78"/>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(4,216,555</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(2,658,414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(34,360,316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(18,850,414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27,645,033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12,210,718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18,146,608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12,095,288</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59"/>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36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2"/>
                <w:szCs w:val="22"/>
                <w:color w:val="auto"/>
              </w:rPr>
            </w:pPr>
          </w:p>
        </w:tc>
        <w:tc>
          <w:tcPr>
            <w:tcW w:w="12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1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1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29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June 30, 2025</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27,636,939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56,613,511</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(54,877,024)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1,739,251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purchase commitment</w:t>
            </w:r>
          </w:p>
        </w:tc>
        <w:tc>
          <w:tcPr>
            <w:tcW w:w="112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106,383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349,990</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(4,216,555)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(4,216,555)</w:t>
            </w:r>
          </w:p>
        </w:tc>
        <w:tc>
          <w:tcPr>
            <w:tcW w:w="0" w:type="dxa"/>
            <w:vAlign w:val="bottom"/>
          </w:tcPr>
          <w:p>
            <w:pPr>
              <w:spacing w:after="0"/>
              <w:rPr>
                <w:sz w:val="1"/>
                <w:szCs w:val="1"/>
                <w:color w:val="auto"/>
              </w:rPr>
            </w:pPr>
          </w:p>
        </w:tc>
      </w:tr>
      <w:tr>
        <w:trPr>
          <w:trHeight w:val="27"/>
        </w:trPr>
        <w:tc>
          <w:tcPr>
            <w:tcW w:w="29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September 30, 2025</w:t>
            </w:r>
          </w:p>
        </w:tc>
        <w:tc>
          <w:tcPr>
            <w:tcW w:w="1040" w:type="dxa"/>
            <w:vAlign w:val="bottom"/>
            <w:tcBorders>
              <w:left w:val="single" w:sz="8" w:color="CCEEFF"/>
            </w:tcBorders>
            <w:shd w:val="clear" w:color="auto" w:fill="000000"/>
          </w:tcPr>
          <w:p>
            <w:pPr>
              <w:spacing w:after="0"/>
              <w:rPr>
                <w:sz w:val="2"/>
                <w:szCs w:val="2"/>
                <w:color w:val="auto"/>
              </w:rPr>
            </w:pPr>
          </w:p>
        </w:tc>
        <w:tc>
          <w:tcPr>
            <w:tcW w:w="80" w:type="dxa"/>
            <w:vAlign w:val="bottom"/>
            <w:tcBorders>
              <w:left w:val="single" w:sz="8" w:color="auto"/>
            </w:tcBorders>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940" w:type="dxa"/>
            <w:vAlign w:val="bottom"/>
            <w:gridSpan w:val="3"/>
            <w:vMerge w:val="continue"/>
            <w:shd w:val="clear" w:color="auto" w:fill="CCEEFF"/>
          </w:tcPr>
          <w:p>
            <w:pPr>
              <w:spacing w:after="0"/>
              <w:rPr>
                <w:sz w:val="21"/>
                <w:szCs w:val="21"/>
                <w:color w:val="auto"/>
              </w:rPr>
            </w:pPr>
          </w:p>
        </w:tc>
        <w:tc>
          <w:tcPr>
            <w:tcW w:w="112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27,743,322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56,972,621</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(59,093,579</w:t>
            </w:r>
          </w:p>
        </w:tc>
        <w:tc>
          <w:tcPr>
            <w:tcW w:w="1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(2,118,184</w:t>
            </w:r>
          </w:p>
        </w:tc>
        <w:tc>
          <w:tcPr>
            <w:tcW w:w="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2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6"/>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234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2"/>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360" w:type="dxa"/>
            <w:vAlign w:val="bottom"/>
            <w:gridSpan w:val="6"/>
            <w:vMerge w:val="continue"/>
          </w:tcPr>
          <w:p>
            <w:pPr>
              <w:spacing w:after="0"/>
              <w:rPr>
                <w:sz w:val="20"/>
                <w:szCs w:val="20"/>
                <w:color w:val="auto"/>
              </w:rPr>
            </w:pPr>
          </w:p>
        </w:tc>
        <w:tc>
          <w:tcPr>
            <w:tcW w:w="234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0"/>
                <w:szCs w:val="20"/>
                <w:color w:val="auto"/>
              </w:rPr>
            </w:pPr>
          </w:p>
        </w:tc>
        <w:tc>
          <w:tcPr>
            <w:tcW w:w="12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1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1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198"/>
        </w:trPr>
        <w:tc>
          <w:tcPr>
            <w:tcW w:w="28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Balances as of June 30, 2024 (as</w:t>
            </w:r>
          </w:p>
        </w:tc>
        <w:tc>
          <w:tcPr>
            <w:tcW w:w="80" w:type="dxa"/>
            <w:vAlign w:val="bottom"/>
            <w:tcBorders>
              <w:top w:val="single" w:sz="8" w:color="CCEEFF"/>
            </w:tcBorders>
            <w:gridSpan w:val="2"/>
            <w:shd w:val="clear" w:color="auto" w:fill="CCEEFF"/>
          </w:tcPr>
          <w:p>
            <w:pPr>
              <w:spacing w:after="0"/>
              <w:rPr>
                <w:sz w:val="17"/>
                <w:szCs w:val="17"/>
                <w:color w:val="auto"/>
              </w:rPr>
            </w:pPr>
          </w:p>
        </w:tc>
        <w:tc>
          <w:tcPr>
            <w:tcW w:w="1040" w:type="dxa"/>
            <w:vAlign w:val="bottom"/>
            <w:tcBorders>
              <w:top w:val="single" w:sz="8" w:color="auto"/>
              <w:left w:val="single" w:sz="8" w:color="CCEEFF"/>
            </w:tcBorders>
            <w:shd w:val="clear" w:color="auto" w:fill="CCEEFF"/>
          </w:tcPr>
          <w:p>
            <w:pPr>
              <w:spacing w:after="0"/>
              <w:rPr>
                <w:sz w:val="17"/>
                <w:szCs w:val="17"/>
                <w:color w:val="auto"/>
              </w:rPr>
            </w:pP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restated)</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80" w:type="dxa"/>
            <w:vAlign w:val="bottom"/>
            <w:tcBorders>
              <w:left w:val="single" w:sz="8" w:color="CCEEFF"/>
            </w:tcBorders>
            <w:shd w:val="clear" w:color="auto" w:fill="CCEEFF"/>
          </w:tcPr>
          <w:p>
            <w:pPr>
              <w:spacing w:after="0"/>
              <w:rPr>
                <w:sz w:val="20"/>
                <w:szCs w:val="20"/>
                <w:color w:val="auto"/>
              </w:rPr>
            </w:pPr>
          </w:p>
        </w:tc>
        <w:tc>
          <w:tcPr>
            <w:tcW w:w="2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120" w:type="dxa"/>
            <w:vAlign w:val="bottom"/>
            <w:tcBorders>
              <w:left w:val="single" w:sz="8" w:color="CCEEFF"/>
            </w:tcBorders>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305,828</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(19,387,833)</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(18,973,030)</w:t>
            </w:r>
          </w:p>
        </w:tc>
        <w:tc>
          <w:tcPr>
            <w:tcW w:w="0" w:type="dxa"/>
            <w:vAlign w:val="bottom"/>
          </w:tcPr>
          <w:p>
            <w:pPr>
              <w:spacing w:after="0"/>
              <w:rPr>
                <w:sz w:val="1"/>
                <w:szCs w:val="1"/>
                <w:color w:val="auto"/>
              </w:rPr>
            </w:pPr>
          </w:p>
        </w:tc>
      </w:tr>
      <w:tr>
        <w:trPr>
          <w:trHeight w:val="198"/>
        </w:trPr>
        <w:tc>
          <w:tcPr>
            <w:tcW w:w="294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9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recapitalization</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(108,975,000)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6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940" w:type="dxa"/>
            <w:vAlign w:val="bottom"/>
            <w:tcBorders>
              <w:top w:val="single" w:sz="8" w:color="CCEEFF"/>
            </w:tcBorders>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Balances as of June 30, 2024, adjusted</w:t>
            </w:r>
          </w:p>
        </w:tc>
        <w:tc>
          <w:tcPr>
            <w:tcW w:w="1040" w:type="dxa"/>
            <w:vAlign w:val="bottom"/>
            <w:tcBorders>
              <w:top w:val="single" w:sz="8" w:color="auto"/>
              <w:left w:val="single" w:sz="8" w:color="CCEEFF"/>
            </w:tcBorders>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restated)</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413,582</w:t>
            </w:r>
          </w:p>
        </w:tc>
        <w:tc>
          <w:tcPr>
            <w:tcW w:w="120" w:type="dxa"/>
            <w:vAlign w:val="bottom"/>
            <w:tcBorders>
              <w:lef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(19,387,833)</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(18,973,030)</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14,533</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14,533</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(2,658,414)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(2,658,414)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Balances as of September 30, 2024</w:t>
            </w:r>
          </w:p>
        </w:tc>
        <w:tc>
          <w:tcPr>
            <w:tcW w:w="10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gridSpan w:val="2"/>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940" w:type="dxa"/>
            <w:vAlign w:val="bottom"/>
            <w:gridSpan w:val="3"/>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(22,046,247</w:t>
            </w:r>
          </w:p>
        </w:tc>
        <w:tc>
          <w:tcPr>
            <w:tcW w:w="140" w:type="dxa"/>
            <w:vAlign w:val="bottom"/>
            <w:gridSpan w:val="2"/>
            <w:vMerge w:val="continue"/>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(21,616,911</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2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59"/>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3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2"/>
                <w:szCs w:val="22"/>
                <w:color w:val="auto"/>
              </w:rPr>
            </w:pPr>
          </w:p>
        </w:tc>
        <w:tc>
          <w:tcPr>
            <w:tcW w:w="12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1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1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2024</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10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330,366</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(24,733,263)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(24,293,922)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4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9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recapitalization</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(108,975,000)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6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940" w:type="dxa"/>
            <w:vAlign w:val="bottom"/>
            <w:tcBorders>
              <w:top w:val="single" w:sz="8" w:color="CCEEFF"/>
            </w:tcBorders>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Balances as of December 31, 2024,</w:t>
            </w:r>
          </w:p>
        </w:tc>
        <w:tc>
          <w:tcPr>
            <w:tcW w:w="1040" w:type="dxa"/>
            <w:vAlign w:val="bottom"/>
            <w:tcBorders>
              <w:top w:val="single" w:sz="8" w:color="auto"/>
              <w:left w:val="single" w:sz="8" w:color="CCEEFF"/>
            </w:tcBorders>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438,120</w:t>
            </w:r>
          </w:p>
        </w:tc>
        <w:tc>
          <w:tcPr>
            <w:tcW w:w="120" w:type="dxa"/>
            <w:vAlign w:val="bottom"/>
            <w:tcBorders>
              <w:lef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(24,733,263)</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(24,293,922)</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28,862</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28,862</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4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Reverse recapitalization transactions,</w:t>
            </w:r>
          </w:p>
        </w:tc>
        <w:tc>
          <w:tcPr>
            <w:tcW w:w="1040" w:type="dxa"/>
            <w:vAlign w:val="bottom"/>
            <w:tcBorders>
              <w:left w:val="single" w:sz="8" w:color="CCEEFF"/>
            </w:tcBorders>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15,426,221</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56,155,649</w:t>
            </w:r>
          </w:p>
        </w:tc>
        <w:tc>
          <w:tcPr>
            <w:tcW w:w="12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56,157,192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 purchase commitment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106,383</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(34,360,316)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(34,360,316)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Balances as of September 30, 2025</w:t>
            </w:r>
          </w:p>
        </w:tc>
        <w:tc>
          <w:tcPr>
            <w:tcW w:w="10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940" w:type="dxa"/>
            <w:vAlign w:val="bottom"/>
            <w:gridSpan w:val="3"/>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27,743,322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56,972,621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(59,093,579</w:t>
            </w:r>
          </w:p>
        </w:tc>
        <w:tc>
          <w:tcPr>
            <w:tcW w:w="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(2,118,184</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2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6"/>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234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2"/>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360" w:type="dxa"/>
            <w:vAlign w:val="bottom"/>
            <w:gridSpan w:val="6"/>
            <w:vMerge w:val="continue"/>
          </w:tcPr>
          <w:p>
            <w:pPr>
              <w:spacing w:after="0"/>
              <w:rPr>
                <w:sz w:val="20"/>
                <w:szCs w:val="20"/>
                <w:color w:val="auto"/>
              </w:rPr>
            </w:pPr>
          </w:p>
        </w:tc>
        <w:tc>
          <w:tcPr>
            <w:tcW w:w="234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20"/>
                <w:szCs w:val="20"/>
                <w:color w:val="auto"/>
              </w:rPr>
            </w:pPr>
          </w:p>
        </w:tc>
        <w:tc>
          <w:tcPr>
            <w:tcW w:w="120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12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1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104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133,360</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(3,195,833)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(2,953,498)</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4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9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recapitalization</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(108,975,000)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12,208,851</w:t>
            </w:r>
          </w:p>
        </w:tc>
        <w:tc>
          <w:tcPr>
            <w:tcW w:w="16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940" w:type="dxa"/>
            <w:vAlign w:val="bottom"/>
            <w:tcBorders>
              <w:top w:val="single" w:sz="8" w:color="CCEEFF"/>
            </w:tcBorders>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Balances as of December 31, 2023,</w:t>
            </w:r>
          </w:p>
        </w:tc>
        <w:tc>
          <w:tcPr>
            <w:tcW w:w="1040" w:type="dxa"/>
            <w:vAlign w:val="bottom"/>
            <w:tcBorders>
              <w:top w:val="single" w:sz="8" w:color="auto"/>
              <w:left w:val="single" w:sz="8" w:color="CCEEFF"/>
            </w:tcBorders>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60" w:type="dxa"/>
            <w:vAlign w:val="bottom"/>
            <w:tcBorders>
              <w:top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23"/>
                <w:szCs w:val="23"/>
                <w:color w:val="auto"/>
              </w:rPr>
            </w:pPr>
          </w:p>
        </w:tc>
        <w:tc>
          <w:tcPr>
            <w:tcW w:w="6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23"/>
                <w:szCs w:val="23"/>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12,208,851</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241,114</w:t>
            </w:r>
          </w:p>
        </w:tc>
        <w:tc>
          <w:tcPr>
            <w:tcW w:w="120" w:type="dxa"/>
            <w:vAlign w:val="bottom"/>
            <w:tcBorders>
              <w:lef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(3,195,833)</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(2,953,498)</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gridSpan w:val="3"/>
          </w:tcPr>
          <w:p>
            <w:pPr>
              <w:ind w:left="180"/>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1,868</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187,001</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187,001</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(18,850,414)</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(18,850,414)</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Balances as of September 30, 2024</w:t>
            </w:r>
          </w:p>
        </w:tc>
        <w:tc>
          <w:tcPr>
            <w:tcW w:w="104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940" w:type="dxa"/>
            <w:vAlign w:val="bottom"/>
            <w:gridSpan w:val="3"/>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(22,046,247</w:t>
            </w:r>
          </w:p>
        </w:tc>
        <w:tc>
          <w:tcPr>
            <w:tcW w:w="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(21,616,911</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(34,360,316)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(18,850,414)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16,839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17,368,415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14,227,156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156,869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28,862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187,001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64,857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11,890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5,728,295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(4,739,169)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shares issued as commitment fee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(864,763)</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(572,655)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107,218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(402,854)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163,030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693,309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1,095,589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(171,492)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3,913,668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(61,968)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58,963</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(8,197,830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(3,099,229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(483,724)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(898,798)</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(579,327)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(1,382,522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(579,327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bridge loans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SAFE notes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23,752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3,834,500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bridge loans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(1,660,545)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PIPE investments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10,837,643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5,577,304</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10,278,154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during period</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697,802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155,944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721,032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605,760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1,418,834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761,704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ROU asset obtained in exchange for lease liability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482,227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324,426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SAFE notes to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40,726,793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Conversion of short-term debt to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2,456,500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39,462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Company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CID Holdco’s extensive research and development initiatives, CID Holdco’s main focus includes areas such as Industrial IoT, Indoor &amp; Outdoor tracking with seamless transitions, Passive RFID (including Bluetooth and 5G), Collision Avoidance, real-time locating system, Dolly Management, and related supported software applications.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CID Holdco is the developer of an asset tracking platform intended to push the limits of near real-time precision-based location technology. CID Holdco’s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CID Holdco serves multiple industries including construction, military, mining, retail, warehousing and manufacturing.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2024, the Legacy Company incorporated Dot Works, Inc. (“Dot Works”),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18, 2024, the Legacy Company entered into a Business Combination Agreement (the “Business Combination Agreement”) by and among CID HoldCo, Inc., a Delaware corporation and a direct, wholly-owned subsidiary of ShoulderUp Technology Acquisition Corp, a Delaware corporation (“SUAC” or “ShoulderUp”), ShoulderUp Merger Sub, Inc., a Delaware corporation and wholly-owned subsidiary of Holdings (“ShoulderUp Merger Sub”), SEI Merger Sub, Inc., a Delaware corporation and a direct, wholly owned subsidiary of Holdings (“SEI Merger Sub” and together with ShoulderUp Merger Sub, the “Merger Subs”).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cancelled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 traded company, all upon the terms and subject to the conditions set forth in the Business Combination Agreement and in accordance with the provisions of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SUTA Class A Common Stock received one warrant to purchase the Company’s Common Stock at an exercise price of $11.50 per share.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with the U.S. Securities and Exchange Commission (SEC), as amended (the “Registration Statement”). The Registration Statement was declared effective by the SEC on June 18, 2025. Subsequently, the Company filed a registration statement on Form S-1 (File No. 333-290052), as amended, which was declared effective by the SEC on September 18,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Financial Accounting Standards Board (“FASB”) Accounting Standards Codification (“ASC”) Topic 205-40, </w:t>
      </w:r>
      <w:r>
        <w:rPr>
          <w:rFonts w:ascii="Times New Roman" w:cs="Times New Roman" w:eastAsia="Times New Roman" w:hAnsi="Times New Roman"/>
          <w:sz w:val="18"/>
          <w:szCs w:val="18"/>
          <w:i w:val="1"/>
          <w:iCs w:val="1"/>
          <w:color w:val="auto"/>
        </w:rPr>
        <w:t>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Statements — Going Concern</w:t>
      </w:r>
      <w:r>
        <w:rPr>
          <w:rFonts w:ascii="Times New Roman" w:cs="Times New Roman" w:eastAsia="Times New Roman" w:hAnsi="Times New Roman"/>
          <w:sz w:val="18"/>
          <w:szCs w:val="18"/>
          <w:color w:val="auto"/>
        </w:rPr>
        <w:t>, which requires that management evaluate whether there are relevant conditions and events that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raise substantial doubt about the entity’s ability to continue as a going concern and to meet its obligations as they become due within one year after the date that the condensed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a limited operating history, has incurred significant operating losses since its inception, and the revenue and income potential of the Company’s business and market are unproven. The preparation of these condensed consolidated financial statements does not include any adjustments that may result from the outcome of this uncertainty. The Company’s condensed consolidated financial statements are prepared using the generally accepted accounting principles applicable to a going concern, which contemplates the realization of assets and liquidation of liabilities in the normal course of business. As of September 30, 2025, the Company had $1,418,834 in cash, a working capital deficit of $5,404,007 and accumulated deficit of $59,093,579. To date, the Company has funded its operations primarily with the net proceeds from the issuance of convertible promissory notes, the issuance and sale of equity securities, and subsequent to June 18, 2025 proceeds from the Business Combination. The Company expects to incur substantial operating losses for the next several years and has obtained additional near-term financing to continue its research and development activities.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18, 2025, the Company entered into a share subscription line of credit agreement under which the Company can access up to $50,000,000 in aggregate proceeds (see Note 9) to fund its R&amp;D activities and its operations.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interim unaudited condensed consolidated financial statements are issued. The accompanying interim unaudited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interim condensed consolidated unaudited financial statements include the accounts of CID Holdco, and its wholly-owned subsidiaries, Dot Ai and Dot Works, which are collectively referred to as the “Company” in these condensed consolidated financial statements. All intercompany balances and transactions have been eliminated upon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financial statements have been prepared in conformity with accounting principles generally accepted in the United States of America (“U.S. GAAP”), as determined by FASB through the ASC, and should be read in conjunction with, the Company’s audited consolidated financial statements and related footnotes for the year ended December 31, 2024. The unaudited condensed consolidated financial statements reflect all adjustments, which include only normal recurring adjustments necessary for the fair presentation of the Company’s financial position, and its results of operations and cash flows for the reported periods, in accordance with US GAAP. The unaudited condensed consolidated financial statements do not include all of the information and footnotes required by US GAAP for complete financial statements, as allowed by the relevant U.S. Securities and Exchange Commission rules and regulations; however, the Company believes its disclosures are adequate to ensure the information presented is not misleading.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with ShoulderUp being treated as the acquired company and the Legacy Company treated as the accounting acquirer for financial reporting purposes. This accounting treatment is equivalent to the Legacy Company issuing stock for the net assets of ShoulderUp, accompanied by a recapitalization whereby no goodwill or other intangible assets are recorded. Operations prior to the Business Combination are presented as those of the Legacy Company and the accumulated deficit of the Legacy Company has been carried forward after Closing.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periods prior to the Business Combination have been retrospectively adjusted to reflect the reverse recapitalization. In connection with the reverse recapitalization treatment of the Business Combination, all issued and outstanding securities of ShoulderUp upon Closing were treated as issuances of the Company upon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No.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requiring public entities to disclose information about their reportable segments’ significant expenses and other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items on an interim and annual basis. Public entities with a single reportable segment are required to apply the disclosure requirements in ASU No. 2023-07, as well as all existing segment disclosures and reconciliation requirements in ASC 280 on an interim and annual basis. The Company adopted ASU No. 2023-07 during the year ended December 31, 2024. See Note 16,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these notes to the condensed consolidated financial statements for further detail.</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prescribes standardized categories and disaggregation of information in the reconciliation of provision for income taxes, requires disclosure of disaggregated income taxes paid, and modifies other income tax-related disclosure requirements. The updated standard is effective for us beginning with our fiscal year 2025 annual reporting period. The Company has evaluated the impact of this standard and, because it continues to operate in a loss position and does not pay income taxes, the adoption of this guidance is not expected to have a material impact on its condensed consolidated financial statements or related disclosures.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condensed consolidated financial statements or related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changes, the Company’s revenues and results of operations could be adversely affected.</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some of the inventory that the Company purchases include components produced in foreign countries, the Company is subject to certain risks associated with tariffs on imports that the government of the United States of America imposes, which could adversely impact the Company’s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The Company bases its estimates on historical experience, known or expected trends, and various other assumptions that are believed to be reasonable given the quality of information available as of the date of these financial statements. The results of these assumptions provide the basis for making estimates about the carrying amounts of assets and liabilities that are not readily apparent from other sources. Actual results could differ from these estimates. The Company believes judgment is involved in determining capitalized software development costs, the fair value of the SAFE agreements, useful lives of capitalized software development costs, share-based compensation, obsolete inventory, the put option under the standby equity purchase agreement and the valuation allowance on deferred income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maintains its cash deposits with major financial institutions, that at times, are greater than the FDIC limit.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us. Unobservable inputs are inputs that reflect our assumptions about the factors that market participants would use in valuing the asset or liability. There are three levels of input that may be used to measure fair value:</w:t>
      </w:r>
    </w:p>
    <w:p>
      <w:pPr>
        <w:spacing w:after="0" w:line="189"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Level 1 -</w:t>
        <w:tab/>
        <w:t>Quoted prices in active markets for identical assets or liabilities that the entity can access.</w:t>
      </w:r>
    </w:p>
    <w:p>
      <w:pPr>
        <w:spacing w:after="0" w:line="225" w:lineRule="exact"/>
        <w:rPr>
          <w:sz w:val="20"/>
          <w:szCs w:val="20"/>
          <w:color w:val="auto"/>
        </w:rPr>
      </w:pPr>
    </w:p>
    <w:p>
      <w:pPr>
        <w:jc w:val="both"/>
        <w:ind w:left="1620" w:hanging="971"/>
        <w:spacing w:after="0" w:line="266" w:lineRule="auto"/>
        <w:tabs>
          <w:tab w:leader="none" w:pos="1600" w:val="left"/>
        </w:tabs>
        <w:rPr>
          <w:sz w:val="20"/>
          <w:szCs w:val="20"/>
          <w:color w:val="auto"/>
        </w:rPr>
      </w:pPr>
      <w:r>
        <w:rPr>
          <w:rFonts w:ascii="Times New Roman" w:cs="Times New Roman" w:eastAsia="Times New Roman" w:hAnsi="Times New Roman"/>
          <w:sz w:val="18"/>
          <w:szCs w:val="18"/>
          <w:color w:val="auto"/>
        </w:rPr>
        <w:t>Level 2 -</w:t>
        <w:tab/>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p>
      <w:pPr>
        <w:spacing w:after="0" w:line="176" w:lineRule="exact"/>
        <w:rPr>
          <w:sz w:val="20"/>
          <w:szCs w:val="20"/>
          <w:color w:val="auto"/>
        </w:rPr>
      </w:pPr>
    </w:p>
    <w:p>
      <w:pPr>
        <w:jc w:val="both"/>
        <w:ind w:left="162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3 -</w:t>
        <w:tab/>
        <w:t>Unobservable inputs that are supported by little or no market activity and that are significant to the fair value of the assets and liabilities.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based on the lowest level of input that is significant to the fair value measurement. The Company reviews the fair value hierarchy classification on an as needed basis. Changes in the observability of valuation inputs may result in a reclassification of levels for certain securities within the fair value hierarchy. The Company recognizes transfers into and out of levels within the fair value hierarchy in the appropriate period in which the actual event or change in circumstances caused the transfer to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Prepaid expenses and other current assets primarily consist of advance payments for goods and services to be received in future periods, including insurance premiums, software licenses, maintenance contracts, and prepaid inventories. Prepaid expenses are recorded at cost and are expensed ratably over the period the benefits are realized. Prepaid inventories are advance payments made to suppliers for inventory that the company has not yet received. The Company periodically reviews the carrying value of prepaid expenses and other current assets to determine if any amounts are no longer recoverable, and records an expense in the period such determination is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are derived from customers located primarily in North America. The Company generally does not require collateral to support customer receivables.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As of September 30, 2025 and December 31, 2024, there was no accounts receivable allowance for credit losses. There was no credit losses for the three and nine months ended September 30, 2025 and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consists of raw materials, work in progress and finished goods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as of September 30, 2025 and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Expenditures for maintenance and repairs are expensed currently, while renewals and betterments that materially extend the life of an asset are capitalized. The cost of assets sold, retired, or otherwise disposed of, and the related allowance for depreciation are eliminated from the accounts, and any resulting gain or loss is recognized. Depreciation of property and equipment over $5,000 is provided using the straight-line method over the estimated useful lives of the assets, which are 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Topic 350-40,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As of September 30, 2025 and 2024, and for the three and nine months then ended, no projects have been substantially completed and ready for their intended use, and no amortization was recorded in the accompanying condensed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September 30, 2025 and December 31, 2024, and for the three and nine months ended September 30, 2025 and 2024, no such indicators of impairment were identified, and accordingly, no impairment losses were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 permitted by ASC 842, the Company accounts for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core principle of this standard is that a lessee should recognize the assets and liabilities that arise from leases, by recognizing in the condensed consolidated balance sheets a liability to make lease payments (the lease liability) and a right-of-use asset representing its right to use the underlying asset for the lease term.</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leases are capitalized at the present value of the minimum lease payments not yet paid. The Company uses either the rate implicit in the lease, if readily determinable, or the Company’s incremental borrowing rate in order to calculate the net present value of the lease liability. The Company’s incremental borrowing rate for a lease is the rate of interest it would have to pay on a collateralized basis to borrow an amount equal to the lease payments under similar terms and in a similar economic environment. The Company has two operating leases for the facilities located in Bethesda, Maryland and Barceloneta, Puerto Rico.</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 The Company has two short-term leases located in Manati, Puerto Rico and Shirley, Massachusetts.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Variable payments are included in the future lease payments when those variable payments depend on an index or a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primarily recognizes revenue from the sale and delivery of products. As it is still in the early stages of developing its software-as-a-service (SaaS) product, most revenue is derived from product sales, including bridges, gateways, and labels.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revenue consists of payments received in advance of satisfaction of a performance obligation and is recognized as the performance obligations are satisfied.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solution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exclusivity agreement, the Company received a $2,000,000 payment from the reseller.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As a result of the third quarter 2025 review, the Company reversed approximately $196,000 in revenue. If the reseller fails to meet sales targets and the agreement is terminated, any remaining deferred revenue will be recognized at that time.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applies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when recording share-based compensation. The fair value of each stock option award is estimated on the date of grant using the Black-Scholes option valuation model. The assumptions used in the Black-Scholes valuation model are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 The grant price of the issuances is determined based on the estimated fair value of the shares at the date of grant.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for periods within the contractual life of the option is based on the U.S. Treasury yield in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of grant.</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Lives </w:t>
      </w:r>
      <w:r>
        <w:rPr>
          <w:rFonts w:ascii="Times New Roman" w:cs="Times New Roman" w:eastAsia="Times New Roman" w:hAnsi="Times New Roman"/>
          <w:sz w:val="18"/>
          <w:szCs w:val="18"/>
          <w:color w:val="auto"/>
        </w:rPr>
        <w:t>- Due to the Company’s insufficient history of option activity, management utilizes the simplified approach to estimate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which represents the period of time that options granted are expected to be outstanding.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Determined based on management’s estimate or historical volatilities of comparable companies.</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Based on current yield at the grant date or the average dividend yield over the historical period. The Company has never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or paid dividends and has no plans to do so in the foreseeable future.</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share-based compensation (see Note 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valuation allowances against deferred tax assets as deemed necessary.</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for the period by the weighted-average number of common shares outstanding during the period. Diluted net loss per share is computed by dividing the net loss by the weighted-average number of common shares outstanding and potentially dilutive securities outstanding for the period using the treasury stock or if-converted method if their inclusion is dilutive. Diluted net loss per common share is the same as basic net loss per common share because the inclusion of potentially dilutive shares would be anti-dilutive to the calculation of loss and comprehensive loss per common share.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only one class of shares issued and outstanding. Accordingly, basic and diluted net loss per share is not allocated among multiple classes. Basic and diluted net loss per share for all periods prior to the Closing have been retrospectively adjusted by the exchange ratio to reflect the effect of the reverse recapitalization.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Closing, the Company inherited 15,675,000 public and private warrants from ShoulderUp, each exercisable at $11.50 per share. These warrants were considered antidilutive and excluded from the diluted net loss per share calculation for the three and nine months ended September 30, 2025. During the three and nine months ended September 30, 2025 and 2024, 20,017 of these warrants were forfeited, resulting in a net total of 15,654,983 warrants outstanding as of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incurred acquisition and integration costs of $243,230 and $1,154,857 for the three and nine months ended September 30, 2025, respectively, primarily related to professional fees, legal and accounting services, severance, and other costs associated with recent business combinations. These expenses are not included in general and administrative expenses in the condensed consolidated statements of operations. The Company expects to continue to incur certain integration costs in the near term as it finalizes system, process, and personnel integration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transaction costs incurred in connection with de-SPAC transactions in accordance with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Costs that are directly attributable to the issuance of equity instruments, such as legal, accounting, and advisory fees related to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recapitalization, are recorded as a reduction to additional paid-in capital. Other costs that are not directly related to the equity issuance, including costs associated with business combination activities, are expensed as incurred. The Company evaluates each cost to determine the appropriate accounting treatment based on its nature and purpose.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Restatements and Reclassifications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connection with these reclassifications, amounts previously reported as general and administrative expenses have been reallocated to acquisition and integration expenses. Amounts previously reported as advances to suppliers have been reclassified to prepaid expenses and other current assets. In addition, certain amounts previously reported as other assets have been reclassified to property and equipment, net. Furthermore, certain amounts previously reported as cost of goods sold have been restated to general and administrative expenses, research and development expenses and sales and marketing expenses based on the nature of the underlying costs. These restatements and reclassifications had no impact on total loss from operations, net loss, or shareholders’ equity (deficit) for any period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Business Combination and Reverse Recapitalization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March 18, 2024, the Company entered into a Business Combination Agreement with ShoulderUp, ShoulderUp Merger Sub, Inc., and SEI Merger Sub, Inc. and the Legacy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18, 2025, the Company consummated its Business Combination pursuant to the terms of the Business Combination Agreement. The Business Combination was structured as follows:</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ordinary share of ShoulderUp that was not redeemed or converted was exchanged for one share of Common Stock. Each issued and outstanding unit of ShoulderUp (“Unit”) was automatically separated into (i) one ordinary share and (ii) one-half of one warrant. Each whole warrant is exercisable to purchase one ordinary share at an exercise price of $11.50 per share.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506,589 shares of Common Stock were issued to the public shareholders of ShoulderUp. An additional 6,698,333 shares were issued to ShoulderUp’s officers and directors, ShoulderUp Technology Sponsor LLC (the “Sponsor”), and each transferee of founder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1,345,001 shares of Common Stock were issued to certain original public shareholders who had previously agreed not to redeem their shares.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SEE ID’s 108,975,000 Common Stock issued and outstanding immediately prior to the Closing was canceled and converted into 12,210,718 shares of the Company’s Common Stock after giving effect to the exchange ratio of 0.11205.</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2,909,057 shares of Common Stock were issued to the SEE ID SAFE note holders.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11,205 shares of Common Stock were issued in exchange for financial advisory services at Closing.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3,323,536 shares of Common Stock were issued to three major PIPE investors.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assumed 15,654,983 public and private warrants of ShoulderUp, net of 20,017 forfeitures, as of September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Ownership Upon Closing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shares of Common Stock issued in connection with the Business Combination and subsequent equity conversion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outstanding prior to the Business Combination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ordinary shares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ShoulderUp’s officers and directors, the Sponsor and each transferee of founder shares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6,698,333</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non-redemption share holders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1,345,001</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ShoulderUp bridge loan holder</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482,500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DLA Piper, LLP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holders of SEE ID Inc.</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SEE ID SAFE note holders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2,909,057</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StarUpNV</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11,205</w:t>
            </w:r>
          </w:p>
        </w:tc>
        <w:tc>
          <w:tcPr>
            <w:tcW w:w="0" w:type="dxa"/>
            <w:vAlign w:val="bottom"/>
          </w:tcPr>
          <w:p>
            <w:pPr>
              <w:spacing w:after="0"/>
              <w:rPr>
                <w:sz w:val="1"/>
                <w:szCs w:val="1"/>
                <w:color w:val="auto"/>
              </w:rPr>
            </w:pP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Stock issued to PIPE investors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3,323,536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Upon the Business Combination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27,636,939</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ind w:left="548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00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5" w:name="page16"/>
    <w:bookmarkEnd w:id="15"/>
    <w:p>
      <w:pPr>
        <w:ind w:firstLine="648"/>
        <w:spacing w:after="0" w:line="282" w:lineRule="auto"/>
        <w:rPr>
          <w:sz w:val="20"/>
          <w:szCs w:val="20"/>
          <w:color w:val="auto"/>
        </w:rPr>
      </w:pPr>
      <w:r>
        <w:rPr>
          <w:rFonts w:ascii="Times New Roman" w:cs="Times New Roman" w:eastAsia="Times New Roman" w:hAnsi="Times New Roman"/>
          <w:sz w:val="18"/>
          <w:szCs w:val="18"/>
          <w:color w:val="auto"/>
        </w:rPr>
        <w:t>The Legacy Company incurred $2,726,183 in transaction costs in connection with the Business Combination, which was determined not to be a capital-raising transaction for the Legacy Company. The $2,726,183 consists of the following:</w:t>
      </w:r>
    </w:p>
    <w:p>
      <w:pPr>
        <w:spacing w:after="0" w:line="162"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$1,003,500 in assumed expenses from ShoulderUp for financial advisory services provided by Cohen Capital Markets;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$156,870 for financial advisory services provided by a financial advisor;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$295,000 in registration fees paid to Nasdaq Corporate Solutions, LLC;</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$271,079 paid to Continental Stock Transfer &amp; Trust Co.;</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$126,812 paid to Edgar Agents, LLC;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$872,922 in bonus expenses related to the successful closing of the Business Combination.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reconcile elements of the Business Combination to the Company’s condensed consolidated financial statements, and should be read in conjunction with the footnotes referenced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8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Recapitalization</w:t>
            </w: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proceeds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5,577,304</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PIPE investors</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10,837,643</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legacy ShoulderUp bank accounts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74,499</w:t>
            </w: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disbursements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Payment to purchase founder shares</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0"/>
        </w:trPr>
        <w:tc>
          <w:tcPr>
            <w:tcW w:w="98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proceeds from the Business Combination</w:t>
            </w: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11,489,446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SAFE notes to equity</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40,726,793</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short-term debt to equity</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8,597,750</w:t>
            </w:r>
          </w:p>
        </w:tc>
        <w:tc>
          <w:tcPr>
            <w:tcW w:w="0" w:type="dxa"/>
            <w:vAlign w:val="bottom"/>
          </w:tcPr>
          <w:p>
            <w:pPr>
              <w:spacing w:after="0"/>
              <w:rPr>
                <w:sz w:val="1"/>
                <w:szCs w:val="1"/>
                <w:color w:val="auto"/>
              </w:rPr>
            </w:pPr>
          </w:p>
        </w:tc>
      </w:tr>
      <w:tr>
        <w:trPr>
          <w:trHeight w:val="21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156,870</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Accrued taxes assumed from ShoulderUp</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(3,913,668)</w:t>
            </w:r>
          </w:p>
        </w:tc>
        <w:tc>
          <w:tcPr>
            <w:tcW w:w="0" w:type="dxa"/>
            <w:vAlign w:val="bottom"/>
          </w:tcPr>
          <w:p>
            <w:pPr>
              <w:spacing w:after="0"/>
              <w:rPr>
                <w:sz w:val="1"/>
                <w:szCs w:val="1"/>
                <w:color w:val="auto"/>
              </w:rPr>
            </w:pPr>
          </w:p>
        </w:tc>
      </w:tr>
      <w:tr>
        <w:trPr>
          <w:trHeight w:val="236"/>
        </w:trPr>
        <w:tc>
          <w:tcPr>
            <w:tcW w:w="9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Short-term debt assumed from ShoulderUp</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50"/>
        </w:trPr>
        <w:tc>
          <w:tcPr>
            <w:tcW w:w="9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equity impact of the Business Combination</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56,157,192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Par value of Common Stock issued</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988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Impact of Business Combination on Additional Paid-in Capital</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56,155,649</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as of September 30, 2025.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transaction: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Payback in</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Interest at</w:t>
            </w:r>
          </w:p>
        </w:tc>
        <w:tc>
          <w:tcPr>
            <w:tcW w:w="12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8"/>
              </w:rPr>
              <w:t>Payback in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 at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Bridge Loans</w:t>
            </w: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120" w:type="dxa"/>
            <w:vAlign w:val="bottom"/>
          </w:tcPr>
          <w:p>
            <w:pPr>
              <w:spacing w:after="0"/>
              <w:rPr>
                <w:sz w:val="21"/>
                <w:szCs w:val="21"/>
                <w:color w:val="auto"/>
              </w:rPr>
            </w:pPr>
          </w:p>
        </w:tc>
        <w:tc>
          <w:tcPr>
            <w:tcW w:w="120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$4/share</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6/5/2025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(270,000)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(673,500</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2,456,500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614,125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PIPE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6/16/2025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2,814,500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6/17/2025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7,023,143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1,755,786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PIPE</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10,837,643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2,709,411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 Restatement and Reclassification of Prior Period Financial Statements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Based on an analysis of FASB ASC, ASC 250-</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xml:space="preserve">, Staff Accounting Bulletin 99, </w:t>
      </w:r>
      <w:r>
        <w:rPr>
          <w:rFonts w:ascii="Times New Roman" w:cs="Times New Roman" w:eastAsia="Times New Roman" w:hAnsi="Times New Roman"/>
          <w:sz w:val="18"/>
          <w:szCs w:val="18"/>
          <w:i w:val="1"/>
          <w:iCs w:val="1"/>
          <w:color w:val="auto"/>
        </w:rPr>
        <w:t>Materiality, and Staff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Bulletin 108, Considering the Effects of Prior Year Misstatements when Quantifying Misstatements in Current Year Financial Statements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determined these errors were material to the previously issued interim financial statements and as such a restatement was necessary.</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revised its expense presentation by reallocating certain amounts previously reported under cost of goods sold to general and administrative, research and development, and sales and marketing expenses to better reflect the nature of the underlying costs. In addition, certain expenses were reclassified among these operating expense categories. These revisions had no effect on total revenue, loss from operations, net loss, or shareholders’ equity (deficit) for any period presented. The impact of these reclassifications and restatements on the Company’s condensed consolidated statements of operations for the three and nine months ended September 30, 2024, is shown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00" w:type="dxa"/>
            <w:vAlign w:val="bottom"/>
            <w:gridSpan w:val="11"/>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18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Restatement</w:t>
            </w:r>
          </w:p>
        </w:tc>
        <w:tc>
          <w:tcPr>
            <w:tcW w:w="100" w:type="dxa"/>
            <w:vAlign w:val="bottom"/>
          </w:tcPr>
          <w:p>
            <w:pPr>
              <w:spacing w:after="0"/>
              <w:rPr>
                <w:sz w:val="21"/>
                <w:szCs w:val="21"/>
                <w:color w:val="auto"/>
              </w:rPr>
            </w:pP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145,201</w:t>
            </w:r>
          </w:p>
        </w:tc>
        <w:tc>
          <w:tcPr>
            <w:tcW w:w="3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(137,204)</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7,997</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(63,565</w:t>
            </w:r>
          </w:p>
        </w:tc>
        <w:tc>
          <w:tcPr>
            <w:tcW w:w="22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73,639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1,039,092</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(532,305)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506,886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157,741</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28,937</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186,678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633,570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(103,154)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638,584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635,459</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635,459</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1,830,403</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137,204</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1,967,607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(1,893,968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(1,893,968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00" w:type="dxa"/>
            <w:vAlign w:val="bottom"/>
            <w:gridSpan w:val="11"/>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tc>
        <w:tc>
          <w:tcPr>
            <w:tcW w:w="0" w:type="dxa"/>
            <w:vAlign w:val="bottom"/>
          </w:tcPr>
          <w:p>
            <w:pPr>
              <w:spacing w:after="0"/>
              <w:rPr>
                <w:sz w:val="1"/>
                <w:szCs w:val="1"/>
                <w:color w:val="auto"/>
              </w:rPr>
            </w:pPr>
          </w:p>
        </w:tc>
      </w:tr>
      <w:tr>
        <w:trPr>
          <w:trHeight w:val="194"/>
        </w:trPr>
        <w:tc>
          <w:tcPr>
            <w:tcW w:w="4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18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Restatement</w:t>
            </w:r>
          </w:p>
        </w:tc>
        <w:tc>
          <w:tcPr>
            <w:tcW w:w="100" w:type="dxa"/>
            <w:vAlign w:val="bottom"/>
          </w:tcPr>
          <w:p>
            <w:pPr>
              <w:spacing w:after="0"/>
              <w:rPr>
                <w:sz w:val="21"/>
                <w:szCs w:val="21"/>
                <w:color w:val="auto"/>
              </w:rPr>
            </w:pP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0" w:type="dxa"/>
            <w:vAlign w:val="bottom"/>
          </w:tcPr>
          <w:p>
            <w:pPr>
              <w:spacing w:after="0"/>
              <w:rPr>
                <w:sz w:val="1"/>
                <w:szCs w:val="1"/>
                <w:color w:val="auto"/>
              </w:rPr>
            </w:pPr>
          </w:p>
        </w:tc>
      </w:tr>
      <w:tr>
        <w:trPr>
          <w:trHeight w:val="216"/>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183,631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155,210</w:t>
            </w: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(137,204)</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18,006</w:t>
            </w:r>
          </w:p>
        </w:tc>
        <w:tc>
          <w:tcPr>
            <w:tcW w:w="0" w:type="dxa"/>
            <w:vAlign w:val="bottom"/>
          </w:tcPr>
          <w:p>
            <w:pPr>
              <w:spacing w:after="0"/>
              <w:rPr>
                <w:sz w:val="1"/>
                <w:szCs w:val="1"/>
                <w:color w:val="auto"/>
              </w:rPr>
            </w:pPr>
          </w:p>
        </w:tc>
      </w:tr>
      <w:tr>
        <w:trPr>
          <w:trHeight w:val="27"/>
        </w:trPr>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vMerge w:val="continue"/>
            <w:shd w:val="clear" w:color="auto" w:fill="CCEEFF"/>
          </w:tcPr>
          <w:p>
            <w:pPr>
              <w:spacing w:after="0"/>
              <w:rPr>
                <w:sz w:val="21"/>
                <w:szCs w:val="21"/>
                <w:color w:val="auto"/>
              </w:rPr>
            </w:pP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28,421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165,625</w:t>
            </w:r>
          </w:p>
        </w:tc>
        <w:tc>
          <w:tcPr>
            <w:tcW w:w="0" w:type="dxa"/>
            <w:vAlign w:val="bottom"/>
          </w:tcPr>
          <w:p>
            <w:pPr>
              <w:spacing w:after="0"/>
              <w:rPr>
                <w:sz w:val="1"/>
                <w:szCs w:val="1"/>
                <w:color w:val="auto"/>
              </w:rPr>
            </w:pPr>
          </w:p>
        </w:tc>
      </w:tr>
      <w:tr>
        <w:trPr>
          <w:trHeight w:val="21"/>
        </w:trPr>
        <w:tc>
          <w:tcPr>
            <w:tcW w:w="4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2,462,469</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(1,398,008)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1,064,461</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431,054</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28,937</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459,991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1,758,156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(103,154)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1,763,170</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1,501,261</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1,501,261</w:t>
            </w:r>
          </w:p>
        </w:tc>
        <w:tc>
          <w:tcPr>
            <w:tcW w:w="0" w:type="dxa"/>
            <w:vAlign w:val="bottom"/>
          </w:tcPr>
          <w:p>
            <w:pPr>
              <w:spacing w:after="0"/>
              <w:rPr>
                <w:sz w:val="1"/>
                <w:szCs w:val="1"/>
                <w:color w:val="auto"/>
              </w:rPr>
            </w:pPr>
          </w:p>
        </w:tc>
      </w:tr>
      <w:tr>
        <w:trPr>
          <w:trHeight w:val="25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8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4,651,679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137,204</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4,788,883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(4,623,258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(4,623,258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42"/>
        </w:trPr>
        <w:tc>
          <w:tcPr>
            <w:tcW w:w="4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Out of Period Adjustment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identified an error in its previously issued financial statements that was corrected through an out of period adjustment in the condensed financial statements as of and for the three and nine months ended September 30, 2025. The error related to non-redemption compensation incurred during the three months ended June 30, 2025 that was not recorded in that quarter. As a result, the Company recorded an out of period adjustment in the amount of approximately $561,000 in the quarter ended September 30, 2025. The Company assessed this out of period adjustment both quantitatively and qualitatively and concluded the error was immaterial.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 Concentrations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cash balance with a U.S. financial institution, in which the balance exceeds the FDIC insured limit of $250,000. As of September 30, 2025 and December 31, 2024, the Company’s cash balance held at the financial institution exceeded the FDIC limit.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significant customer is defined as one that accounts for at least 10% of the Company’s revenue. For the three months ended September 30, 2025, sales to three customers accounted for 100% of total revenues, of which one customer contributed approximately 86% and the other customer contributed approximately 12%. For the nine months ended September 30, 2025, sales to three customers accounted for 100% of total revenues, of which one customer contributed approximately 90%. For the three months ended September 30, 2024, sales to three customers accounted for 100% of total revenues, of which one customer contributed approximately 86%. For the nine months ended September 30, 2024, sales to four customers accounted for 100% of total revenues, of which one customer contributed approximately 53% and another contributed approximately 38%.</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Company’s accounts receivable balance was concentrated among two customers. One customer accounted for approximately 90% of total accounts receivable, and another customer represented approximately 10%. As of September 30, 2024, the Company’s accounts receivable balance was concentrated among three customers. One customer accounted for approximately 75% of total accounts receivable, and another customer represented approximately 24%. The Company monitors the creditworthiness of its customers on an ongoing basis and believes that its credit risk is limited due to the financial strength and payment history of these customers. Management does not expect any material losses from these receivable concentrations and has not recorded an allowance for doubtful accounts, as all receivables are considered highly collectible.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as of September 30, 2025 and December 31, 2024,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495,010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478,171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11,738</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Capitalized Software Development Costs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capitalizes eligible costs incurred in the development of internal-use software during the application development stage, in accordance with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is typically three to five years. The Company reviews the carrying value of capitalized software for impairment whenever events or changes in circumstances indicate the carrying amount may not be recoverable.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capitalized software development costs of $2,660,194 and $1,761,396 as of September 30, 2025 and December 31, 2024,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there was no amortization expense recorded on capitalized software development costs as the software was not substantially complete and ready for its intended use.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 SAFE Agreements and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Closing, SEE ID had issued Simple Agreements for Future Equity (the “SAFE agreements”) to investors for proceeds totaling $8,480,217. Under the terms of these SAFE agreements, which had stated discount rates ranging from 67% to 80%, the following would happen upon the occurrence of these events (all capitalized terms are as defined in the SAFE agreements):</w:t>
      </w:r>
    </w:p>
    <w:p>
      <w:pPr>
        <w:spacing w:after="0" w:line="174" w:lineRule="exact"/>
        <w:rPr>
          <w:sz w:val="20"/>
          <w:szCs w:val="20"/>
          <w:color w:val="auto"/>
        </w:rPr>
      </w:pPr>
    </w:p>
    <w:p>
      <w:pPr>
        <w:ind w:left="980" w:hanging="324"/>
        <w:spacing w:after="0" w:line="28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Financing </w:t>
      </w:r>
      <w:r>
        <w:rPr>
          <w:rFonts w:ascii="Times New Roman" w:cs="Times New Roman" w:eastAsia="Times New Roman" w:hAnsi="Times New Roman"/>
          <w:sz w:val="18"/>
          <w:szCs w:val="18"/>
          <w:color w:val="auto"/>
        </w:rPr>
        <w:t>- the SAFE agreements will automatically convert into the number of shares of Safe Preferred Stock equal to the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divided by the Discount Price with certain SAFE agreements subject to a post-money valuation cap of $30,000,000.</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Event </w:t>
      </w:r>
      <w:r>
        <w:rPr>
          <w:rFonts w:ascii="Times New Roman" w:cs="Times New Roman" w:eastAsia="Times New Roman" w:hAnsi="Times New Roman"/>
          <w:sz w:val="18"/>
          <w:szCs w:val="18"/>
          <w:color w:val="auto"/>
        </w:rPr>
        <w:t>- the SAFE agreements will automatically be entitled to receive a portion of Proceeds, due and payable to the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or concurrent with, the consumption of such Liquidity Event, equal to the greater of (i) the Purchase Amount (the “Cash-Out Amount”) or (ii) the amount payable on the number of shares of Common Stock equal to the Purchase Amount divided by the Liquidity Price.</w:t>
      </w:r>
    </w:p>
    <w:p>
      <w:pPr>
        <w:spacing w:after="0" w:line="17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Dissolution Event </w:t>
      </w:r>
      <w:r>
        <w:rPr>
          <w:rFonts w:ascii="Times New Roman" w:cs="Times New Roman" w:eastAsia="Times New Roman" w:hAnsi="Times New Roman"/>
          <w:sz w:val="18"/>
          <w:szCs w:val="18"/>
          <w:color w:val="auto"/>
        </w:rPr>
        <w:t>- the Investor will automatically be entitled to receive a portion of Proceeds equal to the Cash-Out Amount, due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the Investor immediately prior to the consummation of the Dissolution Event.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815-40,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the Company determined that the SAFE agreements represented freestanding financial instruments and, accordingly, classified them as derivative liabilities in the accompanying condensed consolidated balance sheets. The SAFE agreements were carried at estimated fair value, which was determined by the Company via a probability-weighted expected return method.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Business Combination, which closed on June 18, 2025, as described in Note 3,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September 30,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the SAFE note activity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1"/>
                <w:szCs w:val="21"/>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agreements at fair value, beginning of period</w:t>
            </w: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21,200,160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23,334,626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agreements issued for cash</w:t>
            </w:r>
          </w:p>
        </w:tc>
        <w:tc>
          <w:tcPr>
            <w:tcW w:w="900" w:type="dxa"/>
            <w:vAlign w:val="bottom"/>
          </w:tcPr>
          <w:p>
            <w:pPr>
              <w:spacing w:after="0"/>
              <w:rPr>
                <w:sz w:val="18"/>
                <w:szCs w:val="18"/>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23,752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3,834,500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764,446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17,368,415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14,227,156</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notes converted into shares</w:t>
            </w:r>
          </w:p>
        </w:tc>
        <w:tc>
          <w:tcPr>
            <w:tcW w:w="90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(40,726,793)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 agreements at fair value, end of period</w:t>
            </w: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22,664,606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22,664,606</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Derivative Instruments: Derivative instruments that are not traded on an exchange are valued using conventional calculations/models that are primarily based on unobservable inputs such as private company unit price and volatilities, and therefore, such derivative instruments are included in Level 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completion of the Business Combination, all outstanding derivatives were converted into shares of the Company’s Common Stock. The following table presents information about the Company’s assets and liabilities that are measured at fair value on a recurring basis as of September 30, 2025 and December 31, 2024, and indicates the fair value hierarchy of the valuation inputs the Company utilized to determine such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23,334,626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 Equity Line of Credit: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Common Stock. As the feature is embedded in an equity host, meets the definition of a derivative, and does not qualify for the equity scope exception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it must be bifurcated and accounted for separately as a derivative asset or liability, depending on changes in the underlying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relative to the pegged discounted VWAP. The derivative is measured at fair value, with changes in fair value recognized in net loss. The fair value of the purchased put option was determined to be de minimis as of September 30, 2025, and therefore was not recorded on the Company’s balance sheet as of that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purchase notices were issued during the three and nine months ended September 30, 2025. On October 13, 2025, the Company issued a purchase notice to sell 30,000 shares of its Common Stock. The purchase price was settled at $2.6172 per share, resulting in total cash proceeds of $78,516.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in Note 3, Business Combination and Reverse Recapitalization, all historical equity data, including stock option data, in these unaudited condensed consolidated financial statements has been retrospectively adjusted by the Exchange Ratio to reflect the reverse recapitalization that occurred on June 18,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authorized 300,000,000 shares of Common Stock, par value $0.0001 per share. As of September 30, 2025, 27,743,322 shares of Common Stock were issued and outstanding, and 272,256,678 shares of Common Stock were reserved for future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 Equity Incentive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2021, the Company adopted the 2021 Equity Inventive Plan (the “Incentive Plan”), which provides for grants of awards in the form of incentive stock options, non-qualified stock options, and restricted stock awards to selected employees, directors, and independent contractors of the Company and its affiliates, as defined in the Incentive Plan. The aggregate number of shares of the Company’s Common Stock that may be issued under the Incentive Plan shall not exceed 4,672,506. The purpose of the Incentive Plan is to encourage and enable selected participants to acquire or to increase their holdings of the Company’s Common Stock and other equity-based interests in the Company in order to promote a closer identification of their interests with those of the Company and its stockholders. The Incentive Plan is administered by the Company’s Board of Directors, which determines the people to whom awards will be granted, the type of awards to be granted, the number of awards to be granted and the specific terms of each grant, including the vesting thereof, subject to the provisions of the Incentive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activity for the nine months ended September 30,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45"/>
        </w:trPr>
        <w:tc>
          <w:tcPr>
            <w:tcW w:w="44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2024</w:t>
            </w:r>
          </w:p>
        </w:tc>
        <w:tc>
          <w:tcPr>
            <w:tcW w:w="29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2,032,521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0.1151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4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4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cancelled</w:t>
            </w:r>
          </w:p>
        </w:tc>
        <w:tc>
          <w:tcPr>
            <w:tcW w:w="4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(170,715)</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0.1759</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6"/>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September 30, 2025</w:t>
            </w:r>
          </w:p>
        </w:tc>
        <w:tc>
          <w:tcPr>
            <w:tcW w:w="29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1,861,806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vested as of September 30, 2025</w:t>
            </w:r>
          </w:p>
        </w:tc>
        <w:tc>
          <w:tcPr>
            <w:tcW w:w="4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1,797,840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0.1008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920" w:type="dxa"/>
            <w:vAlign w:val="bottom"/>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0" w:name="page21"/>
    <w:bookmarkEnd w:id="2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recognized share-based compensation expense relating to stock options totaling $9,120 and $28,862, respectively. For the three and nine months ended September 30, 2024, the Company recognized share-based compensation relating to stock options totaling $8,778 and $80,372, respectively. Share-based compensation expense relating to stock options is included in “General and administrative” in the accompanying condensed consolidated statements of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a total of approximately $14,493 of unrecognized share-based compensation cost relating to outstanding stock options, which is expected to be recognized over a weighted-average period of 0.55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the Company did not grant any restricted stock awards.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and December 31, 2024, there were no unvested restricted stock awards.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did not recognize any share-based compensation relating to restricted stock awards. For the three and nine months ended September 30, 2024, the Company recognized share-based compensation relating to restricted stock awards totaling $5,755 and $106,629, respectively. Share-based compensation relating to restricted stock awards is included in “General and administrative” in the accompanying consolidated statements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there were no unrecognized share-based compensation costs relating to restricted stock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 Net 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and 2024, shares of Common Stock underlying stock options totaling 1,861,806 and 2,032,521, respectively, and no unvested restricted stock awards, were excluded from the calculation of diluted net loss per share because they were antidilutive. In addition, 15,654,983 warrants outstanding as of September 30, 2025 were out of the money and also excluded from the calculation of diluted net loss per share for being antidilutive.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 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2025, the Company entered into a noncancelable operating lease agreement with an unrelated third-party for a 16,000 square foot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foot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three and nine months ended September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45"/>
        </w:trPr>
        <w:tc>
          <w:tcPr>
            <w:tcW w:w="37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6"/>
        </w:trPr>
        <w:tc>
          <w:tcPr>
            <w:tcW w:w="372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51,298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short-term lease cost</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22,170</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93,516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16,879</w:t>
            </w:r>
          </w:p>
        </w:tc>
        <w:tc>
          <w:tcPr>
            <w:tcW w:w="0" w:type="dxa"/>
            <w:vAlign w:val="bottom"/>
          </w:tcPr>
          <w:p>
            <w:pPr>
              <w:spacing w:after="0"/>
              <w:rPr>
                <w:sz w:val="1"/>
                <w:szCs w:val="1"/>
                <w:color w:val="auto"/>
              </w:rPr>
            </w:pPr>
          </w:p>
        </w:tc>
      </w:tr>
      <w:tr>
        <w:trPr>
          <w:trHeight w:val="27"/>
        </w:trPr>
        <w:tc>
          <w:tcPr>
            <w:tcW w:w="3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vMerge w:val="continue"/>
            <w:shd w:val="clear" w:color="auto" w:fill="CCEEFF"/>
          </w:tcPr>
          <w:p>
            <w:pPr>
              <w:spacing w:after="0"/>
              <w:rPr>
                <w:sz w:val="21"/>
                <w:szCs w:val="21"/>
                <w:color w:val="auto"/>
              </w:rPr>
            </w:pPr>
          </w:p>
        </w:tc>
        <w:tc>
          <w:tcPr>
            <w:tcW w:w="25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73,468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197,835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38,432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operating lease asset and liabilities recorded as of September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gross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(88,443)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(23,586)</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735,871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135,976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614,126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750,102</w:t>
            </w:r>
          </w:p>
        </w:tc>
        <w:tc>
          <w:tcPr>
            <w:tcW w:w="42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operating lease term</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4.37 years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4.75 years</w:t>
            </w: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operating lease discount rate</w:t>
            </w:r>
          </w:p>
        </w:tc>
        <w:tc>
          <w:tcPr>
            <w:tcW w:w="220" w:type="dxa"/>
            <w:vAlign w:val="bottom"/>
          </w:tcPr>
          <w:p>
            <w:pPr>
              <w:spacing w:after="0"/>
              <w:rPr>
                <w:sz w:val="20"/>
                <w:szCs w:val="20"/>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414"/>
        </w:trPr>
        <w:tc>
          <w:tcPr>
            <w:tcW w:w="8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future minimum lease commitments as of September 30, 2025:</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0" w:type="dxa"/>
            <w:vAlign w:val="bottom"/>
          </w:tcPr>
          <w:p>
            <w:pPr>
              <w:spacing w:after="0"/>
              <w:rPr>
                <w:sz w:val="1"/>
                <w:szCs w:val="1"/>
                <w:color w:val="auto"/>
              </w:rPr>
            </w:pPr>
          </w:p>
        </w:tc>
      </w:tr>
      <w:tr>
        <w:trPr>
          <w:trHeight w:val="216"/>
        </w:trPr>
        <w:tc>
          <w:tcPr>
            <w:tcW w:w="8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3 months)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200,462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207,783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215,950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197,905</w:t>
            </w: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42,436</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(164,223)</w:t>
            </w:r>
          </w:p>
        </w:tc>
        <w:tc>
          <w:tcPr>
            <w:tcW w:w="0" w:type="dxa"/>
            <w:vAlign w:val="bottom"/>
          </w:tcPr>
          <w:p>
            <w:pPr>
              <w:spacing w:after="0"/>
              <w:rPr>
                <w:sz w:val="1"/>
                <w:szCs w:val="1"/>
                <w:color w:val="auto"/>
              </w:rPr>
            </w:pPr>
          </w:p>
        </w:tc>
      </w:tr>
      <w:tr>
        <w:trPr>
          <w:trHeight w:val="250"/>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 Related Party Transactions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 $1,500,000 purchase order with Pope Technologies LLC for certain products, hardware, installation, programming, subscription, and training services. As of December 31, 2024, $750,000 had been received and recorded as deferred revenue in the accompanying condensed consolidated balance sheets. During the three and nine months ended September 30, 2025, the Company delivered a portion of the products and recognized $24,750 of revenue from the deferred revenue balance. Pope Technologies LLC is owned by a director of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$11,737 and $3,445 for the three months ended September 30, 2025 and 2024, respectively, and $20,328 and $11,978 for the nine months ended September 30, 2025 and 2024, respectively. As of September 30, 2025 and December 31, 2024, amounts outstanding under this agreement were $0 and $1,164, respectively, and are included in “Accounts receivable” on the accompanying condensed consolidated balance sheets.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$16,170 and $23,850 for the three and nine months ended September 30, 2025, respectively. In September 2025, the Company paid a one-time fee of $13,610 to terminate the lease. The lease was terminated as of September 30, 2025.</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$0 and $2,334 for the three and nine months ended September 30, 2025, respectively. For the three and nine months ended September 30, 2024, the rent expense was $3,501 and $8,169,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Beginning on February 1, 2025, the Company began subleasing an office space in Barceloneta, Puerto Rico from Cruce Davila Development, LLC. The term of this sublease was month-to-month, and the rent was $12,333 per month. This lease ended on May 31, 2025. On June 1, 2025, the Company renewed the lease for a five-year term, which was recognized as a right-of-use asset with corresponding short-term and long-term lease liabilities in the Company’s financial statements as of that date. The rent expense for the short-term lease expense was $0 and $49,332 for the three and nine months ended September 30, 2025,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Note 15 – Accrued Expenses</w:t>
            </w:r>
          </w:p>
        </w:tc>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Accrued expenses as of September 30, 2025 and December 31, 2024,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1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180" w:type="dxa"/>
            <w:vAlign w:val="bottom"/>
            <w:tcBorders>
              <w:bottom w:val="single" w:sz="8" w:color="CCEEFF"/>
            </w:tcBorders>
          </w:tcPr>
          <w:p>
            <w:pPr>
              <w:spacing w:after="0"/>
              <w:rPr>
                <w:sz w:val="21"/>
                <w:szCs w:val="21"/>
                <w:color w:val="auto"/>
              </w:rPr>
            </w:pPr>
          </w:p>
        </w:tc>
        <w:tc>
          <w:tcPr>
            <w:tcW w:w="65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accrued for Cohen Capital Market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directors’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expense accrual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month-end liability accrual</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1,119,808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 Commitment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22, 2025, the Company terminated the employment of one of its founders, who also served as the Customer Experience Officer. The former employee did not execute the termination agreement prior to its expiration during the third quarter and has subsequently filed a lawsuit against the Company on September 8, 2025. In response, the Company filed a motion to dismiss several causes of action on October 23, 2025. The Company has requested that the court dismiss all claims in their entirety. The former employee holds 5,000,260 shares of the Company’s Common Stock. In connection with the expiration of the termination agreement during the third quarter, 170,715 stock options that were exercisable at $0.176 per share after applying the 8.1% stock option conversion ratio to the original exercise price of $0.0143 per share were forfeited. The outcome of this legal matter is not known or probable at this time, therefore, no amounts have been accrued for a settlement.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matters described above, in the ordinary course of business, the Company may become subject to litigation, claims, and regulatory matters. Although it is not feasible to predict the outcome of these matters, the Company believes, unless otherwise indicated below, given the information currently available, that the ultimate resolution of any particular matter, or matters that have the same legal or factual issues, will not have a material adverse effect on its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17 - Segment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a single reportable segment, which generates revenue primarily from delivering feasibility study reports that help customers understand how data-driven tracking can enhance their business operations. This segment also encompasses exclusivity arrangements with resellers, providing them protection from competitive sales. The focus on this segment reflects the Company’s strategy to leverage its data-driven insights and reseller partnerships to expand market reach and drive sustainable growth.</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segment’s measures of profitability are shown in the condensed consolidated statements of operations. The measure of segment assets is reported on the condensed consolidated balance sheets as total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18 – Income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 Company recorded no income tax expense or benefit due to pre-tax book losses. The Company’s effective tax rate for these periods was 0%, which differs from the statutory federal rate primarily due to the Company’s pre-tax losses that generate deferred tax assets (DTAs) related to net operating loss (NOL) carryforwards. Based on the weight of available evidence, including its cumulative history of operating losses, management has determined that it is more likely than not that these deferred tax assets will not be realized, and therefore continues to maintain a full valuation allowance as of September 30, 2025. As a result, the Company expects to maintain a full valuation allowance for the entire fiscal year, and its estimated annual effective tax rate for 2025 remains 0%. The Company’s deferred tax assets, net of the valuation allowance, were $0 as of September 30, 2025</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in the U.S., which contains a broad range of tax reform provisions affecting businesses. The Company is evaluating the full effects of the legislation on the Company, including the Company’s cash tax position, but the Company expects that the legislation will not have a material impact on the Company’s financial statements. As the legislation was signed into law after the second quarter, the financial impacts are not included within the condensed consolidated statement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Company assumed an excise tax liability of $3,905,240 and a franchise tax liability of $8,428, both of which were incurred prior to the Closing and were recorded as assumed obligations from the reverse recapitalization transaction. Accordingly, the Company recorded a total accrued tax liability of $3,913,668 related to the Business Combination. As of September 30, 2025, the Company also recorded a $1,977 sales tax receivable under other current assets account.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 jurisdictions. The Company is not subject to taxation in foreign countries. The Company’s effective tax rate is calculated quarterly based upon current assumptions relating to the full year’s estimated operating results and various tax-related items. Each quarter, an estimate of the annual effective tax rate is updated should the Company revise its forecast of earnings based upon its operating results. If there is a change in the estimated effective annual tax rate, a cumulative adjustment is made. The Company’s effective tax rate was 0% for each of the three and nine months ended September 30, 2025 and 2024.</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the effective tax rate of 0% and the U.S. federal statutory rate of 21% for each of the three and nine months ended September 30, 2025 and 2024 was primarily due to changes in deferred tax balances, fully offset by valuation allowances.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19 -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13, 2025, in connection with the SEPA executed with New Circle on June 18, 2025, the Company issued a purchase notice to sell 30,000 shares of its Common Stock. The purchase price was settled at $2.6172 per share, resulting in total cash proceeds of $78,516..</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On October 23, 2025, the Company filed a motion to dismiss several causes of action brought by the terminated founder employee, as disclosed in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and requested that the court dismiss all claims filed against the Company in their entirety.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24, 2025, the Company filed an action for declaratory relief against a former employee who was terminated under the terms of his employment. The filing seeks clarification regarding a dispute over alleged verbal claims related to salary increases and back pay for which no formal contractual agreements exist.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27, 2025, the Company entered into a non-binding term sheet with an investment firm for the issuance of an $8 million secured promissory note with simple interest at 7% and a 24 month maturity from issuance. The transaction is subject to the execution of a definitive agreement and will include additional terms.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Conditions and Results of Operations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the unaudited condensed consolidated financial statements and related notes included elsewhere in this Quarterly Report on Form 10-Q and the audited financial statements of SEE ID as of and for the fiscal years ended December 31, 2024 and 2023 and the audited financial statements of SUAC as of and for the fiscal years ended December 31, 2024 and 2023 each included in the </w:t>
      </w:r>
      <w:r>
        <w:rPr>
          <w:rFonts w:ascii="Times New Roman" w:cs="Times New Roman" w:eastAsia="Times New Roman" w:hAnsi="Times New Roman"/>
          <w:sz w:val="18"/>
          <w:szCs w:val="18"/>
          <w:color w:val="auto"/>
        </w:rPr>
        <w:t>in the Current Report on Form 8-K filed with the SEC on June 26, 2025</w:t>
      </w:r>
      <w:r>
        <w:rPr>
          <w:rFonts w:ascii="Times New Roman" w:cs="Times New Roman" w:eastAsia="Times New Roman" w:hAnsi="Times New Roman"/>
          <w:sz w:val="18"/>
          <w:szCs w:val="18"/>
          <w:i w:val="1"/>
          <w:iCs w:val="1"/>
          <w:color w:val="auto"/>
        </w:rPr>
        <w:t>. In addition to the unaudited condensed consolidated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Quarterly Report on Form 10-Q, particularly in Item 1A. “Risk Factors” and “Special Note Regarding Forward-Looking Statements”. Defined terms included below have the same meaning as terms defined and included elsewhere in this Quarterly Report on Form 10-Q.</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CID Holdco’s extensive research and development initiatives, CID Holdco’s main focus includes areas such as Industrial IoT, Indoor &amp; Outdoor tracking with seamless transitions, Passive RFID (including Bluetooth and 5G), Collision Avoidance, real-time locating system, Dolly Management, and related supported software applications.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CID Holdco is the developer of an asset tracking platform intended to push the limits of near real-time precision-based location technology. CID Holdco’s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CID Holdco serves multiple industries including construction, military, mining, retail, warehousing and manufacturing.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Throughout the notes to the condensed consolidated financial statements, unless otherwise noted or otherwise suggested by context, the “Company”, “we”, “us”, “our” refers to the Legacy Company prior to the consummation of the Business Combination, and the Company after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(159,915,641) or 8.129%.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3 to the unaudited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we have a substantial opportunity to grow our customer base. We intend to drive new customers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require additional investment as our bookings increase and our channel support requirements come online.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Innovation and Future Growth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market leadership is supported by continuous innovation in our Dot Cloud, our inventions in IoT data collection and our advances in applying AI to our customer problem sets. We will continuously invest in adding new applications and methods to our solutions. As such, spending on research and development will always be an important part of our strategy.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the driving force that will fuel our company is market growth. Our recent pivot to move most of our spending to Sales and Marketing shows a commitment to our go-to-market strategy. We recognize the need to increase adoption and expand brand awareness as we increase market share. This fiscal year is a critical period to add productive resources to ensure success is sustained.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Adding additional compliance and oversight resources as we grow, and especially as we adapt to operating as a public entity, is a natural and essential step. In addition, our small operations team will continue to grow as the demand increases from our maturing sales pipeline.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enables data collection and provides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Currently, revenues are primarily related to the delivery of hardware products such as bridges, labels and gateways to customers. We also provide feasibility study reports to customers seeking to gain insight into how data driven tracking could improve their business, which is recognized upon acceptance of the feasibility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Overhead Costs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Overhead costs that are not directly attributable to a specific functional group are allocated based on relative usage. These costs include expenses related to warehouse lease and cloud hosting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will consists primarily of cellular-related costs, third-party cloud infrastructure expenses, customer support costs, warranty charges, employee-related costs directly associated with our customer support and operations, including salaries, employee benefits and share-based compensation, amortization of internal-use software development, certain cloud computing implementation costs, expenses related to shipping and handling, packaging, fulfillment, warehousing, write-downs of excess and obsolete inventory, and allocated overhead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our customers expand and increase the use of our Dot Cloud driven by additional IoT devices and Applications, our cost of goods sold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goods sold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including salaries, employee benefits and share-based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costs directly associated with our sales and marketing activities, including salaries, employee benefits and share-based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costs for executive, finance, legal, human resources, facilities, and certain IT personnel, including salaries, employee benefits and share-based compensation, professional fees for external legal, accounting, recruiting and other consulting services, credit losses,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consists primarily of interest incurred for our short-term bridge loans.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SAFE agreements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 in the fair value of SAFE agreements represents the unrealized gains or losses resulting from the fluctuations in the estimated fair value of the outstanding SAFE agreements, or reevaluation of updated market conditions and company-specific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transaction costs incurred in connection with the Business Combination that occurred in June 2025, and therefore transaction costs expensed were not a component of our results of operations during 2024. Costs that are directly attributable to the issuance of equity instruments, such as legal, accounting, and advisory fees related to the merger and recapitalization, are recorded as a reduction to additional paid-in capital. All other transaction costs have been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extinguishment of debt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Closing of the Business Combination, one lender elected to convert a portion of its outstanding principal and accrued interest into shares of Common Stock. In connection with the bridge loan conversion, the Company derecognized the liability, issued shares of Common Stock and recognized a loss on debt extinguishment, based on the fair value of the Common Stock at the date of Closing.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Comparison of Three and nine months Ended September 30, 2025 and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Goods Sold, Gross Profit, and Gross Margin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total revenue, cost of goods sold, gross profit, and gross margin for the three and nine months ended September 30, 2025 and 2024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8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8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Restated)</w:t>
            </w:r>
          </w:p>
        </w:tc>
        <w:tc>
          <w:tcPr>
            <w:tcW w:w="2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778,482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696,846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w:t>
            </w:r>
          </w:p>
        </w:tc>
      </w:tr>
      <w:tr>
        <w:trPr>
          <w:trHeight w:val="23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0"/>
                <w:szCs w:val="20"/>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488,286</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7,997</w:t>
            </w:r>
          </w:p>
        </w:tc>
        <w:tc>
          <w:tcPr>
            <w:tcW w:w="14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480,289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6,005.9%</w:t>
            </w:r>
          </w:p>
        </w:tc>
      </w:tr>
      <w:tr>
        <w:trPr>
          <w:trHeight w:val="236"/>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290,196</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73,639</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216,557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140" w:type="dxa"/>
            <w:vAlign w:val="bottom"/>
          </w:tcPr>
          <w:p>
            <w:pPr>
              <w:spacing w:after="0"/>
              <w:rPr>
                <w:sz w:val="19"/>
                <w:szCs w:val="19"/>
                <w:color w:val="auto"/>
              </w:rPr>
            </w:pPr>
          </w:p>
        </w:tc>
        <w:tc>
          <w:tcPr>
            <w:tcW w:w="1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391"/>
        </w:trPr>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8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8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Restated)</w:t>
            </w:r>
          </w:p>
        </w:tc>
        <w:tc>
          <w:tcPr>
            <w:tcW w:w="2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7"/>
              </w:rPr>
              <w:t>1,257,813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183,631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1,074,182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w:t>
            </w:r>
          </w:p>
        </w:tc>
      </w:tr>
      <w:tr>
        <w:trPr>
          <w:trHeight w:val="23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0"/>
                <w:szCs w:val="20"/>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572,558</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18,006</w:t>
            </w:r>
          </w:p>
        </w:tc>
        <w:tc>
          <w:tcPr>
            <w:tcW w:w="14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554,552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3,079.8%</w:t>
            </w:r>
          </w:p>
        </w:tc>
      </w:tr>
      <w:tr>
        <w:trPr>
          <w:trHeight w:val="236"/>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685,255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519,630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140" w:type="dxa"/>
            <w:vAlign w:val="bottom"/>
          </w:tcPr>
          <w:p>
            <w:pPr>
              <w:spacing w:after="0"/>
              <w:rPr>
                <w:sz w:val="19"/>
                <w:szCs w:val="19"/>
                <w:color w:val="auto"/>
              </w:rPr>
            </w:pPr>
          </w:p>
        </w:tc>
        <w:tc>
          <w:tcPr>
            <w:tcW w:w="1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54.5%</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w:t>
            </w: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total revenue increased by approximately $697 thousand, or 853.6%, to $778 thousand compared to $82 thousand for the same period in 2024. The increase was primarily attributable to product revenue recognized during the current quarter from sales of bridges, gateways, and labels to existing customers, partially offset by a $196 thousand revenue reversal tied to an updated estimate based on the timing of actual revenue recognized compared to the estimate utilized related to the $2 million exclusivity client payment. Based on expected $175 million client spend over the 5-year term to retain exclusivity, the Company refined its estimate to recognize the exclusivity payment as revenue across the full 5 years.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cost of goods sold increased by $480 thousand, or 6,005.9%, to $488 thousand, reflecting higher material and labor costs associated with increased product sales. As a result, gross profit increased by $217 thousand, or 294.1%, to $290 thousand, compared to $74 thousand for the same period in 2024. Gross margin decreased to 37.3% from 90.2%, primarily due to the higher proportion of product sales, which generally carry lower margins.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2025, total revenue increased by approximately $1,074 thousand, or 585.0%, to $1,258 thousand compared to $184 thousand for the same period in 2024. The increase was primarily attributable to product revenue recognized during the current period from sales of bridges, gateways, and labels to existing customers. Total cost of goods sold increased by $555 thousand, or 3,079.8%, to $573 thousand, reflecting higher material and labor costs associated with increased product sales. As a result, gross profit increased by $520 thousand, or 313.7%, to $685 thousand compared to $166 thousand for the same period in 2024. Gross margin decreased to 54.5% from 90.2%, primarily due to the higher proportion of product sales, which generally carry lower margins.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2025 and 2024 are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3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37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3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36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397,135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186,678</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3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3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37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1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3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36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4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972,640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459,991</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655"/>
        </w:trPr>
        <w:tc>
          <w:tcPr>
            <w:tcW w:w="37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8" w:name="page29"/>
    <w:bookmarkEnd w:id="2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expenses were $397 thousand for the three months ended September 30, 2025, an increase of $210 thousand, or 112.7%, compared to $187 thousand for the same period in 2024. The increase was primarily driven by the onboarding of additional software and hardware development contractors, as well as higher personnel-related and prototype development costs to support new product initiatives. Our spending for research and development reflects our growing capacity to satisfy customer feature requests and continued investment in our technology roadmap. As a percentage of revenue, R&amp;D expenses decreased to 51.0% from 228.7%, primarily due to significantly higher revenue in the current period.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research and development (“R&amp;D”) expenses increased by $512 thousand, or 111.4%, to $973 thousand compared to $460 thousand in the prior-year period. The year-to-date increase was primarily driven by onboarding additional development contractors and expanding engineering activities in support of the Company’s long-term product innovation goals. R&amp;D expenses represented 77.3% of total revenue for the nine months ended September 30, 2025, compared to 250.5% in the same period of 2024, reflecting improved operating leverage as revenue expanded.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and marketing expenses for the three and nine months ended September 30, 2025 and 2024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360" w:type="dxa"/>
            <w:vAlign w:val="bottom"/>
            <w:gridSpan w:val="3"/>
          </w:tcPr>
          <w:p>
            <w:pPr>
              <w:jc w:val="center"/>
              <w:ind w:right="196"/>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1,111,895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638,584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360" w:type="dxa"/>
            <w:vAlign w:val="bottom"/>
            <w:gridSpan w:val="3"/>
          </w:tcPr>
          <w:p>
            <w:pPr>
              <w:jc w:val="center"/>
              <w:ind w:right="196"/>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40" w:type="dxa"/>
            <w:vAlign w:val="bottom"/>
          </w:tcPr>
          <w:p>
            <w:pPr>
              <w:spacing w:after="0"/>
              <w:rPr>
                <w:sz w:val="21"/>
                <w:szCs w:val="21"/>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2,564,891</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1,763,170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sales and marketing expenses totaled $1,112 thousand, an increase of $473 thousand, or 74.1%, compared to $639 thousand for the same period in 2024. The increase was primarily driven by enhanced functionality in our customer relationship management software, as well as additional investment in customer support to expand our sales and marketing capabilities We expect to further increase spending in the following quarter to leverage additional public investment and strengthen this department to drive growth.</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sales and marketing expenses totaled $2,565 thousand, an increase of $802 thousand, or 45.5%, compared to $1,763 thousand in the same period of 2024, demonstrating the Company’s ongoing commitment to market expansion and revenue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 for the three and nine months ended September 30, 2025 and 2024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360" w:type="dxa"/>
            <w:vAlign w:val="bottom"/>
            <w:gridSpan w:val="3"/>
          </w:tcPr>
          <w:p>
            <w:pPr>
              <w:jc w:val="center"/>
              <w:ind w:right="196"/>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2,742,753</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506,886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2,235,867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5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5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360" w:type="dxa"/>
            <w:vAlign w:val="bottom"/>
            <w:gridSpan w:val="3"/>
          </w:tcPr>
          <w:p>
            <w:pPr>
              <w:jc w:val="center"/>
              <w:ind w:right="196"/>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4,184,688</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1,064,461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3,120,227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general and administrative expenses totaled $2,743 thousand, an increase of $2,236 thousand, or 441.1%, compared to $507 thousand in the same period last year. The increase is primarily driven by labor costs related to the ramp-up of operations, higher administrative support for business functions, and increased back-office headcount. For the nine months ended September 30, 2025, general and administrative expenses totaled $4,185 thousand, up $3,120 thousand, or 293.1%, compared to $1,064 thousand in the prior year, reflecting the continued expansion of operational infrastructure to support company growth.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Acquisition and integration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 and integration expense for the three and nine months ended September 30, 2025 and 2024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5"/>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58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243,230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635,459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(392,229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10"/>
        </w:trPr>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5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5"/>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8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1,154,857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1,501,261</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5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2025, acquisition and integration expenses were $243 thousand, a decrease of $392 thousand, or 61.7%, compared to $635 thousand in the same period of 2024. The decrease reflects lower professional and consulting costs as the Company completed the Business Combination on June 18, 2025. For the nine months ended September 30, 2025, acquisition and integration expenses totaled $1,155 thousand, a decline of $346 thousand, or 23.1%, compared to $1,501 thousand in the prior year period. These expenses primarily consisted of accounting, auditing, and legal fees incurred in connection with the Business Combination, as well as other costs related to transaction execution and post-acquisition integration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SAFE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summarize the change in the fair value of SAFE agreements and the SAFE agreements activity for the three and nine months ended September 30, 2025 and 2024:</w:t>
      </w:r>
    </w:p>
    <w:p>
      <w:pPr>
        <w:sectPr>
          <w:pgSz w:w="11900" w:h="16838" w:orient="portrait"/>
          <w:cols w:equalWidth="0" w:num="1">
            <w:col w:w="11240"/>
          </w:cols>
          <w:pgMar w:left="320" w:top="3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at fair value,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issued for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notes converted into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at fair value, end of period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0" w:type="dxa"/>
            <w:vAlign w:val="bottom"/>
          </w:tcPr>
          <w:p>
            <w:pPr>
              <w:spacing w:after="0"/>
              <w:rPr>
                <w:sz w:val="21"/>
                <w:szCs w:val="21"/>
                <w:color w:val="auto"/>
              </w:rPr>
            </w:pPr>
          </w:p>
        </w:tc>
        <w:tc>
          <w:tcPr>
            <w:tcW w:w="12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(764,446</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764,446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10"/>
        </w:trPr>
        <w:tc>
          <w:tcPr>
            <w:tcW w:w="140" w:type="dxa"/>
            <w:vAlign w:val="bottom"/>
          </w:tcPr>
          <w:p>
            <w:pPr>
              <w:spacing w:after="0"/>
              <w:rPr>
                <w:sz w:val="24"/>
                <w:szCs w:val="24"/>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140" w:type="dxa"/>
            <w:vAlign w:val="bottom"/>
          </w:tcPr>
          <w:p>
            <w:pPr>
              <w:spacing w:after="0"/>
              <w:rPr>
                <w:sz w:val="21"/>
                <w:szCs w:val="21"/>
                <w:color w:val="auto"/>
              </w:rPr>
            </w:pPr>
          </w:p>
        </w:tc>
        <w:tc>
          <w:tcPr>
            <w:tcW w:w="2520" w:type="dxa"/>
            <w:vAlign w:val="bottom"/>
            <w:gridSpan w:val="7"/>
          </w:tcPr>
          <w:p>
            <w:pPr>
              <w:ind w:left="5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0" w:type="dxa"/>
            <w:vAlign w:val="bottom"/>
          </w:tcPr>
          <w:p>
            <w:pPr>
              <w:spacing w:after="0"/>
              <w:rPr>
                <w:sz w:val="20"/>
                <w:szCs w:val="20"/>
                <w:color w:val="auto"/>
              </w:rPr>
            </w:pPr>
          </w:p>
        </w:tc>
        <w:tc>
          <w:tcPr>
            <w:tcW w:w="12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(17,368,415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(14,227,156</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(3,141,259</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10"/>
        </w:trPr>
        <w:tc>
          <w:tcPr>
            <w:tcW w:w="140" w:type="dxa"/>
            <w:vAlign w:val="bottom"/>
          </w:tcPr>
          <w:p>
            <w:pPr>
              <w:spacing w:after="0"/>
              <w:rPr>
                <w:sz w:val="24"/>
                <w:szCs w:val="24"/>
                <w:color w:val="auto"/>
              </w:rPr>
            </w:pPr>
          </w:p>
        </w:tc>
        <w:tc>
          <w:tcPr>
            <w:tcW w:w="252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140" w:type="dxa"/>
            <w:vAlign w:val="bottom"/>
          </w:tcPr>
          <w:p>
            <w:pPr>
              <w:spacing w:after="0"/>
              <w:rPr>
                <w:sz w:val="21"/>
                <w:szCs w:val="21"/>
                <w:color w:val="auto"/>
              </w:rPr>
            </w:pPr>
          </w:p>
        </w:tc>
        <w:tc>
          <w:tcPr>
            <w:tcW w:w="2520" w:type="dxa"/>
            <w:vAlign w:val="bottom"/>
            <w:gridSpan w:val="7"/>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8"/>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94"/>
        </w:trPr>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140" w:type="dxa"/>
            <w:vAlign w:val="bottom"/>
          </w:tcPr>
          <w:p>
            <w:pPr>
              <w:spacing w:after="0"/>
              <w:rPr>
                <w:sz w:val="21"/>
                <w:szCs w:val="21"/>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198"/>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21,200,160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23,334,626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4,602,950</w:t>
            </w:r>
          </w:p>
        </w:tc>
        <w:tc>
          <w:tcPr>
            <w:tcW w:w="80" w:type="dxa"/>
            <w:vAlign w:val="bottom"/>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23,752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3,834,500</w:t>
            </w:r>
          </w:p>
        </w:tc>
        <w:tc>
          <w:tcPr>
            <w:tcW w:w="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764,446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17,368,415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14,227,156</w:t>
            </w:r>
          </w:p>
        </w:tc>
        <w:tc>
          <w:tcPr>
            <w:tcW w:w="80" w:type="dxa"/>
            <w:vAlign w:val="bottom"/>
          </w:tcPr>
          <w:p>
            <w:pPr>
              <w:spacing w:after="0"/>
              <w:rPr>
                <w:sz w:val="18"/>
                <w:szCs w:val="18"/>
                <w:color w:val="auto"/>
              </w:rPr>
            </w:pPr>
          </w:p>
        </w:tc>
      </w:tr>
      <w:tr>
        <w:trPr>
          <w:trHeight w:val="248"/>
        </w:trPr>
        <w:tc>
          <w:tcPr>
            <w:tcW w:w="140" w:type="dxa"/>
            <w:vAlign w:val="bottom"/>
          </w:tcPr>
          <w:p>
            <w:pPr>
              <w:spacing w:after="0"/>
              <w:rPr>
                <w:sz w:val="21"/>
                <w:szCs w:val="21"/>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(40,726,793)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
        </w:trPr>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22,664,606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22,664,606</w:t>
            </w:r>
          </w:p>
        </w:tc>
        <w:tc>
          <w:tcPr>
            <w:tcW w:w="80" w:type="dxa"/>
            <w:vAlign w:val="bottom"/>
          </w:tcPr>
          <w:p>
            <w:pPr>
              <w:spacing w:after="0"/>
              <w:rPr>
                <w:sz w:val="21"/>
                <w:szCs w:val="2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-2399665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-1653540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-779145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335" w:right="3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there was no change in the fair value of SAFE notes, compared to a decrease of $0.8 million in the same period of 2024, representing a 100% decline. For the nine months ended September 30, 2025, the Company recorded a decrease in fair value of $17.4 million, compared to a decrease of $14.2 million in the prior year, an increase of $3.1 million, or 22%.</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beginning of the three-month period, no SAFE agreements were outstanding, compared to $22.7 million at the same point in 2024. During the nine months ended September 30, 2025, SAFE agreements at fair value decreased from $23.3 million to zero, following the conversion of all outstanding notes into 2,909,057 shares of Common Stock. No new SAFE agreements were issued for cash during the three months ended September 30, 2025. The change in fair value of $17.4 million for the nine months ended September 30, 2025, was based on the fair value of Common Stock at closing of $14.00 per share.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decrease in the balance of SAFE agreements was primarily driven by the increased estimated fair value of the Company and the higher probability of the Business Combination, which closed on June 18, 2025, qualifying as an “Equity Financing” under the terms of the Company’s SAFE agreements. As a result, all outstanding SAFE notes were converted into Common Stock, and no SAFE notes remained outstanding as of September 30,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Going Concern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Liquidity is a measure of our ability to access sufficient cash flows to meet the short-term and long-term cash requirements of our business operations. To date, we have funded our operations primarily with proceeds from the issuance of common shares to PIPE investors contemporaneously with the close of the Business Combination.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FASB ASC Topic 205-40, “Presentation of Financial Statements — Going Concern,” management anticipates the Company will continue to incur substantial operating losses for the next several years and will need to obtain additional near-term financing in order to continue its research and development activities. Our ability to continue as a going concern is dependent on its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interim unaudited consolidated financial statements are issued.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we had cash of $1,418,834 and $721,032, respectively, and working capital deficit of $5,404,007 and $1,215,988,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issuance of common shares to PIPE investors contemporaneously with the close of the Business Combination in the amount of $10,837,643 and proceeds from the issuance of bridge loans. As of September 30, 2025, we had cash of $1,418,834. In the future, we expect to finance our cash needs through a combination of equity, debt financings, and improvement of cash from operations derived from selling subscriptions to our platform.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the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SEPA,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the option to satisfy the $350,000 commitment fee under the SEPA through the issuance of a variable number of shares of Common Stock or by payment in cash. On September 24, 2025, the Company paid the commitment fee through the issuance of 106,383 shares of Common Stock, valued at $3.29 per share, which was determined based on the closing price of the Common Stock on September 18, 2025, the date the Form S-1 was declared effective by the SEC. The commitment fee of $350,000 was expensed in September 2025.</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Before the Company elects to sell shares by issuing a purchase notice, the SEPA represents a purchased put option on the Company’s equity. Once the Company delivers a purchase notice under the SEPA, the related number of shares to be issued constitutes a forward contract to issue common stock. As the feature is embedded in an equity host, meets the definition of a derivative, and does not qualify for the equity scope exception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it must be bifurcated and accounted for separately as a derivative asset or liability, depending on changes in the underlying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relative to the pegged discounted VWAP. The derivative is measured at fair value, with changes in fair value recognized in net income. The fair value of the purchased put option was determined to be de minimis as of September 30, 2025, and therefore was not recorded on the Company’s balance sheet as of that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purchase notices were issued during the three and nine months ended September 30, 2025. On October 13, 2025, the Company issued a purchase notice to sell 30,000 shares of its common stock. The purchase price was settled at $2.6172 per share, resulting in total cash proceeds of $78,516.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a summary of our cash flow for the periods presented:</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(8,197,830)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(3,099,229)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(1,382,522)</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(579,327)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10,278,154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3,834,500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investments made by our shareholders. Our primary uses of cash from operating activities are for employee-related expenditures, sales and marketing expenses, inventory purchases, and research &amp; development activities. We generated negative cash flows from operations in the preceding two fiscal years. We have supplemented working capital through net proceeds from the sale of equity securities and bridge loans.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$8.2 million for the nine months ended September 30, 2025. This consisted of a net loss of $34.4 million, adjusted for non-cash charges of $18.6 million, and changes in our operating assets and liabilities of $7.6 million. The non-cash charges were primarily composed of change in fair value of SAFE note expense of $17.4 million and loss on extinguishment of debt of $5.7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$3.1 million for the nine months ended September 30, 2024. This consisted of a net loss of $18.9 million, adjusted for non-cash charges of $14.4 million, and changes in our operating assets and liabilities of $1.3 million. The non-cash charges were primarily composed of change in fair value SAFE note expense of $14.2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$1.4 million for the nine months ended September 30, 2025, which primarily consisted of $484 thousand of property and equipment purchases and $899 thousand of capital expenditures for internal-use software development costs.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$579 thousand for the nine months ended September 30, 2024, which consisted of capital expenditures for internal-use software development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$10.3 million for the nine months ended September 30, 2025, which primarily consisted of $10.8 million in proceeds from PIPE investors.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$3.8 million for the nine months ended September 30, 2024, which consisted of $3.8 million of proceeds from issuance of SAFE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estimated future obligations consist of leases and non-cancelable purchase commitments as of September 30, 2025. For additional discussion on our leases and other commitments, refer to Note 13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condensed consolidated financial statements included elsewhere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condensed consolidated financial statements, we believe that the following accounting policies are the most critical to fully understanding and evaluating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SAFE Agreements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815 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xml:space="preserve"> the Company determined the SAFE agreements are freestanding financial instruments and, accordingly, are classified as “liabilities” in the accompanying condensed consolidated balance sheets. The SAFE agreements are carried at estimated fair value determined by the Company using a probability weighted expected return method.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promised goods or services are transferred to customers in an amount that reflects the consideration to which we expect to be entitled in exchange for those goods or services.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primarily recognizes revenue from the sale and delivery of products. As it is still in the early stages of developing its software-as-a-service (SaaS) product, most revenue is derived from product sales, including bridges, gateways, and labels.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offer feasibility studies which allow customers to gain insight into how data driven tracking could improve their business. As part of our studies, off-the-shelf components are installed on customer-owned assets which enable data to be captured by our beta Zero Infrastructure Mesh (“ZIM”) technology network. These feasibility studies allow the refinement of our software protocols and provide essential information for the continued development of our solution. Customers receive the information captured in our feasibility study reports.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contracts with customers include various performance obligations which are satisfied at a point in time or over time. In reaching this conclusion, we considered the context of the contract and the nature of our promises to provide the customers with products and services.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product performance obligations are satisfied at a point in time, as our customers do not consume the benefits until the products are delivered. Accordingly, the consideration related to the performance obligations are recognized on when control of the products are transferred to the customer which is upon acceptance.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estimates involved in revenue recognition pertain to determination of the stand-alone selling price. Management considered the data inputs for the stand-alone selling price and determined that the adjusted market assessment approach provided the best estimate of the stand-alone selling price and the total products and services to be delivered over the term of the contract. The estimates applied have been reasonable in the past and the likelihood of change in estimate to impact the stand-alone selling price is remote.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entered into an exclusivity agreement on November 8, 2024, and a partner agreement on December 18, 2024, with a major reseller. The exclusivity agreement grants the reseller the exclusive right to sell the Company’s products for one year, with automatic renewal for up to four additional one-year periods if specified sales targets are achieved. The partner agreement provides a 5% purchasing incentive based on the reseller’s quarterly growth in total solution purchases and requires the Company to contribute at least 1% of revenue toward marketing activities, paid as a rebate. Management concluded that the exclusivity agreement, partner agreement, and future product purchase orders should be combined and accounted for as a single contract under ASC 606, </w:t>
      </w:r>
      <w:r>
        <w:rPr>
          <w:rFonts w:ascii="Times New Roman" w:cs="Times New Roman" w:eastAsia="Times New Roman" w:hAnsi="Times New Roman"/>
          <w:sz w:val="18"/>
          <w:szCs w:val="18"/>
          <w:i w:val="1"/>
          <w:iCs w:val="1"/>
          <w:color w:val="auto"/>
        </w:rPr>
        <w:t>Revenue from Contracts with Customers.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Company received a $2,000,000 payment from the reseller for a five-year exclusivity right, including four successive one year automatic renewal periods, granting the reseller exclusive rights to distribute the Company’s products to its customers. Since exclusivity does not represent a distinct performance obligation under ASC 606, the payment was recorded as deferred revenue. Revenue will be recognized over the contract term in proportion to the products and services delivered, based on estimated total sales over the five-year period. These estimates will be reviewed quarterly and adjusted based on the reseller’s actual performance. If the reseller fails to meet sales targets and the agreement is terminated, any remaining deferred revenue will be recognized at that time.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ASC 606, both the incentive and rebate represent variable consideration, as they depend on actual sales volume. Management will estimate expected sales and related rebates to determine the transaction price and recognize revenue accordingly. The purchasing incentive and marketing rebate are not separate performance obligations, and variable consideration related to these incentives will be included in revenue only when it is probable that no significant reversal will occur once uncertainties are resolved. The Company will accrue the incentive amount at the end of each quarter when sales revenue is finalized.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Topic 350 40, </w:t>
      </w:r>
      <w:r>
        <w:rPr>
          <w:rFonts w:ascii="Times New Roman" w:cs="Times New Roman" w:eastAsia="Times New Roman" w:hAnsi="Times New Roman"/>
          <w:sz w:val="18"/>
          <w:szCs w:val="18"/>
          <w:i w:val="1"/>
          <w:iCs w:val="1"/>
          <w:color w:val="auto"/>
        </w:rPr>
        <w:t>Intangibles Goodwill and Other Internal Use Software</w:t>
      </w:r>
      <w:r>
        <w:rPr>
          <w:rFonts w:ascii="Times New Roman" w:cs="Times New Roman" w:eastAsia="Times New Roman" w:hAnsi="Times New Roman"/>
          <w:sz w:val="18"/>
          <w:szCs w:val="18"/>
          <w:color w:val="auto"/>
        </w:rPr>
        <w:t>, we capitalize software development costs incurred on new applications or enhancements to applications during the application development phase of software for internal use to provide services to customers. These capitalized costs include 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Internal 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the best estimate of the costs capitalized during the period. The estimates applied have been reasonable in the past and the likelihood of change in estimate to impact the software cost capitalized is remote.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describe the recently issued accounting pronouncements that apply in Note 2 of the unaudited condensed consolidated financial statements as of and for the three and nine months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current management, including our CEO and CFO, we evaluated the effectiveness of our disclosure controls and procedures as defined in Rules 13a-15(e) and 15d-15(e) under the Securities Exchange Act of 1934, as amended (the “Exchange Act”), as of September 30, 2025. Based on this evaluation of our disclosure controls and procedures, our CEO and CFO have concluded that our disclosure controls and procedures were not effective as of September 30, 2025 because of certain material weaknesses in our internal control over financial reporting, as further described below.</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conclusion by our CEO and CFO that our disclosure controls and procedures as of September 30, 2025, were not effective, and notwithstanding the material weaknesses in our internal control over financial reporting described below, management believes that the consolidated financial statements and related financial information included in this Interim Report on Form 10-Q fairly present in all material respects our financial condition, results of operations, and cash flows as of the dates presented, and for the periods ended on such dates, in conformity with accounting principles generally accepted in the United States of America (“U.S. GAAP”).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Costs of Goods Sold. </w:t>
      </w:r>
      <w:r>
        <w:rPr>
          <w:rFonts w:ascii="Times New Roman" w:cs="Times New Roman" w:eastAsia="Times New Roman" w:hAnsi="Times New Roman"/>
          <w:sz w:val="18"/>
          <w:szCs w:val="18"/>
          <w:color w:val="auto"/>
        </w:rPr>
        <w:t>During the preparation of financial statements for the quarter ended June 30, 2025, management identified multiple costs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improperly included in cost of goods sold in the quarter ended March 31, 2025, as well as for the three and nine months ended September 30, 2024, as disclosed in Note 4 of this condensed consolidated financial statements. The root cause of the error was a lack of preventative control designed to ensure proper categorization of expenses on purchase orders generated by our operating departments. In addition, the Company lacked detective controls to ensure finance management reviewed period-over-period changes in cost of goods sold relative to budgeted and actual production levels. As a result of these control deficiencies, cost of goods sold was overstated by $310,160 for the three months ended March 31, 2025, with a corresponding understatement of total operating expenses, and by $137,204 for the three and nine months ended September 30, 2024, also with a corresponding understatement of total operating expenses. See Note 4 of the condensed consolidated financial statements (unaudited) included in this Quarterly Report on Form 10-Q.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Accounting Personnel and Financial Reporting Controls. </w:t>
      </w:r>
      <w:r>
        <w:rPr>
          <w:rFonts w:ascii="Times New Roman" w:cs="Times New Roman" w:eastAsia="Times New Roman" w:hAnsi="Times New Roman"/>
          <w:sz w:val="18"/>
          <w:szCs w:val="18"/>
          <w:color w:val="auto"/>
        </w:rPr>
        <w:t>Management also identified that the Company does not currently have adequate staffing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accounting department and has not yet designed and implemented the appropriate processes and internal controls to support accurate and timely financial reporting, which (i) may restrict the Company’s ability to review and approve certain material journal entries which increases the likelihood that a material misstatement of interim or annual financial statements might not be prevented; and (ii) resulted in the Company’s inability to have proper segregation of duties between the preparation, review and approval of certain material reconciliations related to financial reporting in a timely manner.</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Calculation Controls. </w:t>
      </w:r>
      <w:r>
        <w:rPr>
          <w:rFonts w:ascii="Times New Roman" w:cs="Times New Roman" w:eastAsia="Times New Roman" w:hAnsi="Times New Roman"/>
          <w:sz w:val="18"/>
          <w:szCs w:val="18"/>
          <w:color w:val="auto"/>
        </w:rPr>
        <w:t>In addition, management identified a material weaknesses in the design of internal controls related to the review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fair value calculation of SAFE notes performed by a third-party valuation specialist. The controls lacked the precision needed to detect inappropriate inputs that could materially impact valuation.</w:t>
      </w:r>
    </w:p>
    <w:p>
      <w:pPr>
        <w:spacing w:after="0" w:line="17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is actively working to develop and implement remediation plans related to the material weakness identified in this section captioned “</w:t>
      </w:r>
      <w:r>
        <w:rPr>
          <w:rFonts w:ascii="Times New Roman" w:cs="Times New Roman" w:eastAsia="Times New Roman" w:hAnsi="Times New Roman"/>
          <w:sz w:val="18"/>
          <w:szCs w:val="18"/>
          <w:i w:val="1"/>
          <w:iCs w:val="1"/>
          <w:color w:val="auto"/>
        </w:rPr>
        <w:t>Part I, Item 4. Controls and Procedures</w:t>
      </w:r>
      <w:r>
        <w:rPr>
          <w:rFonts w:ascii="Times New Roman" w:cs="Times New Roman" w:eastAsia="Times New Roman" w:hAnsi="Times New Roman"/>
          <w:sz w:val="18"/>
          <w:szCs w:val="18"/>
          <w:color w:val="auto"/>
        </w:rPr>
        <w:t>.” Remediation efforts include enhancing the design and implementation of controls over the accounting for financial instruments and hiring additional qualified accounting personnel.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involved in any pending or threatened legal proceedings that it believes could reasonably be expected to have a material adverse effect on its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set forth below, as of the date of this Quarterly Report, there have been no material changes with respect to those risk factors previously disclosed in described in our Form S-4 filed on January 15, 2025 and Closing Form 8-K filed on June 26, 2025.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have serious adverse consequences on our future revenue and financial condition and result in losses that may not be covered by insurance.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particularly our operations in Puerto Rico, could be subject to the impact of natural or man-made disasters or other business disruptions, which include, but are not limited to, earthquakes, hurricanes, typhoons, floods, water shortages, wildfires and fires, blizzards and other extreme weather conditions as well as power outages, telecommunications, transportation or infrastructure failure, cybersecurity incidents or physical security breaches related to such catastrophes, public health crises, such as pandemics and epidemics, and geopolitical conflicts, including acts of terrorism, war and civil disorder. We carry insurance against certain risks and in such amounts as we believe are customary for businesses of our kind. However, as the costs and availability of insurance change, we may decide not to be covered against certain losses, including losses resulting from such natural and man-made disasters or environmental liabilities where, in the judgment of management, the insurance is not warranted due to cost or availability of coverage or the remoteness of perceived risk. Furthermore, there are certain types of losses that are generally not insured because they are either uninsurable or not economically insurable. Moreover, the cost of insurance has increased significantly, including as a result of the impact of climate change and inflation, and we may not be able to obtain sufficient coverage at a reasonable cost to protect us against losses.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wholly-owned subsidiary in Puerto Rico has been granted certain incentives under Act 60 (described below), and the validity of these incentives are conditioned on our continuous compliance with the terms and conditions of the grant.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Puerto Rican subsidiary has been granted various incentives under Act 60, including a reduced 1% income tax rate on its industrial development income and a 15-year exemption term from (i) December 23, 2024 for income tax purposes, (ii) January 1, 2024 for real and personal property tax purposes, and (iii) January 1, 2025 for municipal license tax purposes. The validity of these tax incentives is conditioned on our Puerto Rican subsidiary’s continuous compliance with the terms and conditions of the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Sales of Equity Securities and 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2025, we consummated the private placement of 3,323,536 shares of Common Stock for an aggregate purchase price of $13,294,144 (the “Private Placement”). Following the closing of the Private Placement, proceeds of the sale of the Common Stock was available for the Company’s working capital purposes The shares were subsequently registered with the SEC pursuant to our S-1 filing on September 18,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120" w:type="dxa"/>
            <w:vAlign w:val="bottom"/>
          </w:tcPr>
          <w:p>
            <w:pPr>
              <w:spacing w:after="0"/>
              <w:rPr>
                <w:sz w:val="20"/>
                <w:szCs w:val="20"/>
                <w:color w:val="auto"/>
              </w:rPr>
            </w:pPr>
          </w:p>
        </w:tc>
      </w:tr>
      <w:tr>
        <w:trPr>
          <w:trHeight w:val="432"/>
        </w:trPr>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tc>
        <w:tc>
          <w:tcPr>
            <w:tcW w:w="1120" w:type="dxa"/>
            <w:vAlign w:val="bottom"/>
          </w:tcPr>
          <w:p>
            <w:pPr>
              <w:spacing w:after="0"/>
              <w:rPr>
                <w:sz w:val="24"/>
                <w:szCs w:val="24"/>
                <w:color w:val="auto"/>
              </w:rPr>
            </w:pPr>
          </w:p>
        </w:tc>
      </w:tr>
      <w:tr>
        <w:trPr>
          <w:trHeight w:val="410"/>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By Reference</w:t>
            </w:r>
          </w:p>
        </w:tc>
      </w:tr>
      <w:tr>
        <w:trPr>
          <w:trHeight w:val="176"/>
        </w:trPr>
        <w:tc>
          <w:tcPr>
            <w:tcW w:w="9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tcBorders>
            <w:shd w:val="clear" w:color="auto" w:fill="CCEEFF"/>
          </w:tcPr>
          <w:p>
            <w:pPr>
              <w:spacing w:after="0"/>
              <w:rPr>
                <w:sz w:val="15"/>
                <w:szCs w:val="15"/>
                <w:color w:val="auto"/>
              </w:rPr>
            </w:pPr>
          </w:p>
        </w:tc>
        <w:tc>
          <w:tcPr>
            <w:tcW w:w="9000" w:type="dxa"/>
            <w:vAlign w:val="bottom"/>
            <w:tcBorders>
              <w:top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13a-14(a), as adopted Pursuant to</w:t>
            </w: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960" w:type="dxa"/>
            <w:vAlign w:val="bottom"/>
            <w:tcBorders>
              <w:top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120" w:type="dxa"/>
            <w:vAlign w:val="bottom"/>
            <w:tcBorders>
              <w:top w:val="single" w:sz="8" w:color="CCEEFF"/>
            </w:tcBorders>
            <w:gridSpan w:val="3"/>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898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as adopted Pursuant to</w:t>
            </w:r>
          </w:p>
        </w:tc>
        <w:tc>
          <w:tcPr>
            <w:tcW w:w="100" w:type="dxa"/>
            <w:vAlign w:val="bottom"/>
            <w:gridSpan w:val="2"/>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112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89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Furnished.</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8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112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90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Furnished.</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12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9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120" w:type="dxa"/>
            <w:vAlign w:val="bottom"/>
            <w:shd w:val="clear" w:color="auto" w:fill="CCEEFF"/>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120" w:type="dxa"/>
            <w:vAlign w:val="bottom"/>
          </w:tcPr>
          <w:p>
            <w:pPr>
              <w:spacing w:after="0"/>
              <w:rPr>
                <w:sz w:val="18"/>
                <w:szCs w:val="18"/>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120" w:type="dxa"/>
            <w:vAlign w:val="bottom"/>
            <w:shd w:val="clear" w:color="auto" w:fill="CCEEFF"/>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120" w:type="dxa"/>
            <w:vAlign w:val="bottom"/>
          </w:tcPr>
          <w:p>
            <w:pPr>
              <w:spacing w:after="0"/>
              <w:rPr>
                <w:sz w:val="18"/>
                <w:szCs w:val="18"/>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1120" w:type="dxa"/>
            <w:vAlign w:val="bottom"/>
            <w:shd w:val="clear" w:color="auto" w:fill="CCEEFF"/>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9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120" w:type="dxa"/>
            <w:vAlign w:val="bottom"/>
            <w:shd w:val="clear" w:color="auto" w:fill="CCEEFF"/>
          </w:tcPr>
          <w:p>
            <w:pPr>
              <w:spacing w:after="0"/>
              <w:rPr>
                <w:sz w:val="18"/>
                <w:szCs w:val="18"/>
                <w:color w:val="auto"/>
              </w:rPr>
            </w:pPr>
          </w:p>
        </w:tc>
      </w:tr>
      <w:tr>
        <w:trPr>
          <w:trHeight w:val="655"/>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gridSpan w:val="3"/>
          </w:tcPr>
          <w:p>
            <w:pPr>
              <w:ind w:left="444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69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CID HOLDCO, INC..</w:t>
            </w:r>
          </w:p>
        </w:tc>
      </w:tr>
      <w:tr>
        <w:trPr>
          <w:trHeight w:val="4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Edmund Nabrotzky</w:t>
            </w:r>
          </w:p>
        </w:tc>
      </w:tr>
      <w:tr>
        <w:trPr>
          <w:trHeight w:val="198"/>
        </w:trPr>
        <w:tc>
          <w:tcPr>
            <w:tcW w:w="4320" w:type="dxa"/>
            <w:vAlign w:val="bottom"/>
          </w:tcPr>
          <w:p>
            <w:pPr>
              <w:spacing w:after="0"/>
              <w:rPr>
                <w:sz w:val="17"/>
                <w:szCs w:val="17"/>
                <w:color w:val="auto"/>
              </w:rPr>
            </w:pPr>
          </w:p>
        </w:tc>
        <w:tc>
          <w:tcPr>
            <w:tcW w:w="3000" w:type="dxa"/>
            <w:vAlign w:val="bottom"/>
          </w:tcPr>
          <w:p>
            <w:pPr>
              <w:ind w:left="24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Edmund Nabrotzky</w:t>
            </w:r>
          </w:p>
        </w:tc>
      </w:tr>
      <w:tr>
        <w:trPr>
          <w:trHeight w:val="216"/>
        </w:trPr>
        <w:tc>
          <w:tcPr>
            <w:tcW w:w="432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432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Maddox</w:t>
            </w:r>
          </w:p>
        </w:tc>
      </w:tr>
      <w:tr>
        <w:trPr>
          <w:trHeight w:val="198"/>
        </w:trPr>
        <w:tc>
          <w:tcPr>
            <w:tcW w:w="4320" w:type="dxa"/>
            <w:vAlign w:val="bottom"/>
          </w:tcPr>
          <w:p>
            <w:pPr>
              <w:spacing w:after="0"/>
              <w:rPr>
                <w:sz w:val="17"/>
                <w:szCs w:val="17"/>
                <w:color w:val="auto"/>
              </w:rPr>
            </w:pPr>
          </w:p>
        </w:tc>
        <w:tc>
          <w:tcPr>
            <w:tcW w:w="3000" w:type="dxa"/>
            <w:vAlign w:val="bottom"/>
          </w:tcPr>
          <w:p>
            <w:pPr>
              <w:ind w:left="24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Charles Maddox</w:t>
            </w:r>
          </w:p>
        </w:tc>
      </w:tr>
      <w:tr>
        <w:trPr>
          <w:trHeight w:val="216"/>
        </w:trPr>
        <w:tc>
          <w:tcPr>
            <w:tcW w:w="432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Edmund Nabrotzky,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2025 of CID Holdco,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tab/>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Maddox,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2025 of CID Holdco,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tab/>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Charles Maddox</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CID HoldCo,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 ended September 30, 2025,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Edmund Nabrotzky,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332"/>
        <w:spacing w:after="0" w:line="500"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13, 2025</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Executive Officer and Director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CID HoldCo,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 ended September 30, 2025,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Charles Maddox,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200" w:firstLine="332"/>
        <w:spacing w:after="0" w:line="500"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13, 2025</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Charles Maddox</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2025-11-13T17:08:08Z</dcterms:created>
  <dcterms:modified xsi:type="dcterms:W3CDTF">2025-11-13T17:08:08Z</dcterms:modified>
</cp:coreProperties>
</file>