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0037-10k_cidhold.htm"/>
      <w:bookmarkStart w:id="1" w:name="ksea028003710k_cidhold"/>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001-42711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3245"/>
        <w:gridCol w:w="90"/>
        <w:gridCol w:w="1595"/>
      </w:tblGrid>
      <w:tr>
        <w:trPr/>
        <w:tc>
          <w:tcPr>
            <w:tcW w:w="324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99-2578850</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32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45" w:type="dxa"/>
            <w:tcBorders>
              <w:bottom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89118</w:t>
            </w:r>
          </w:p>
        </w:tc>
      </w:tr>
      <w:tr>
        <w:trPr/>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(303) 332 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884"/>
        <w:gridCol w:w="90"/>
        <w:gridCol w:w="1317"/>
        <w:gridCol w:w="90"/>
        <w:gridCol w:w="2824"/>
      </w:tblGrid>
      <w:tr>
        <w:trPr/>
        <w:tc>
          <w:tcPr>
            <w:tcW w:w="5884"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317"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824"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588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of $0.0001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DAIC</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2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588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 each exercisable for one share of Common Stock at an exercise price of $11.50 per share</w:t>
            </w:r>
          </w:p>
        </w:tc>
        <w:tc>
          <w:tcPr>
            <w:tcW w:w="90" w:type="dxa"/>
            <w:tcBorders/>
            <w:tcMar>
              <w:bottom w:w="0" w:type="dxa"/>
            </w:tcMar>
            <w:vAlign w:val="center"/>
          </w:tcPr>
          <w:p>
            <w:pPr>
              <w:pStyle w:val="TableContents"/>
              <w:bidi w:val="0"/>
              <w:spacing w:before="0" w:after="283"/>
              <w:jc w:val="left"/>
              <w:rPr/>
            </w:pPr>
            <w:r>
              <w:rPr/>
              <w:t> </w:t>
            </w:r>
          </w:p>
        </w:tc>
        <w:tc>
          <w:tcPr>
            <w:tcW w:w="131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DAICW</w:t>
            </w:r>
          </w:p>
        </w:tc>
        <w:tc>
          <w:tcPr>
            <w:tcW w:w="90" w:type="dxa"/>
            <w:tcBorders/>
            <w:tcMar>
              <w:bottom w:w="0" w:type="dxa"/>
            </w:tcMar>
            <w:vAlign w:val="center"/>
          </w:tcPr>
          <w:p>
            <w:pPr>
              <w:pStyle w:val="TableContents"/>
              <w:bidi w:val="0"/>
              <w:spacing w:before="0" w:after="283"/>
              <w:jc w:val="left"/>
              <w:rPr/>
            </w:pPr>
            <w:r>
              <w:rPr/>
              <w:t> </w:t>
            </w:r>
          </w:p>
        </w:tc>
        <w:tc>
          <w:tcPr>
            <w:tcW w:w="282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 pursuant to Section 13 of 15(d)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1865"/>
        <w:gridCol w:w="260"/>
        <w:gridCol w:w="2330"/>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paragraph (iv) of the smaller reporting company definition under Rule 12b-2, the aggregate market value of the common stock of the registrant held by non-affiliates of the registrant as of March 10, 2026 was $ 7,171,964. The closing price of the common stock on March 10, 2026 as reported on the Nasdaq Global market was $0.245 per share.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common stock of the registrant issued and outstanding as of March 6, 2026 was 29,293,322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5"/>
        <w:gridCol w:w="8399"/>
        <w:gridCol w:w="90"/>
        <w:gridCol w:w="771"/>
      </w:tblGrid>
      <w:tr>
        <w:trPr/>
        <w:tc>
          <w:tcPr>
            <w:tcW w:w="945" w:type="dxa"/>
            <w:tcBorders/>
            <w:vAlign w:val="center"/>
          </w:tcPr>
          <w:p>
            <w:pPr>
              <w:pStyle w:val="TableContents"/>
              <w:bidi w:val="0"/>
              <w:spacing w:before="0" w:after="283"/>
              <w:ind w:left="0" w:right="0" w:hanging="180"/>
              <w:jc w:val="left"/>
              <w:rPr>
                <w:sz w:val="4"/>
                <w:szCs w:val="4"/>
              </w:rPr>
            </w:pPr>
            <w:r>
              <w:rPr>
                <w:sz w:val="4"/>
                <w:szCs w:val="4"/>
              </w:rPr>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45" w:type="dxa"/>
            <w:tcBorders/>
            <w:shd w:fill="CCEEFF" w:val="clear"/>
            <w:vAlign w:val="center"/>
          </w:tcPr>
          <w:p>
            <w:pPr>
              <w:pStyle w:val="TableContents"/>
              <w:bidi w:val="0"/>
              <w:spacing w:before="0" w:after="283"/>
              <w:ind w:left="0" w:right="0" w:hanging="180"/>
              <w:jc w:val="left"/>
              <w:rPr/>
            </w:pPr>
            <w:hyperlink w:anchor="a_001">
              <w:r>
                <w:rPr>
                  <w:rStyle w:val="InternetLink"/>
                  <w:b/>
                  <w:u w:val="single"/>
                </w:rPr>
                <w:t>PART I</w:t>
              </w:r>
            </w:hyperlink>
          </w:p>
        </w:tc>
        <w:tc>
          <w:tcPr>
            <w:tcW w:w="83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 </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w:t>
            </w:r>
          </w:p>
        </w:tc>
        <w:tc>
          <w:tcPr>
            <w:tcW w:w="8399" w:type="dxa"/>
            <w:tcBorders/>
            <w:shd w:fill="CCEEFF" w:val="clear"/>
            <w:vAlign w:val="center"/>
          </w:tcPr>
          <w:p>
            <w:pPr>
              <w:pStyle w:val="TableContents"/>
              <w:bidi w:val="0"/>
              <w:spacing w:before="0" w:after="283"/>
              <w:jc w:val="left"/>
              <w:rPr/>
            </w:pPr>
            <w:hyperlink w:anchor="a_002">
              <w:r>
                <w:rPr>
                  <w:rStyle w:val="InternetLink"/>
                </w:rPr>
                <w:t>Business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1</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1A.</w:t>
            </w:r>
          </w:p>
        </w:tc>
        <w:tc>
          <w:tcPr>
            <w:tcW w:w="8399"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15</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1B.</w:t>
            </w:r>
          </w:p>
        </w:tc>
        <w:tc>
          <w:tcPr>
            <w:tcW w:w="8399" w:type="dxa"/>
            <w:tcBorders/>
            <w:shd w:fill="CCEEFF" w:val="clear"/>
            <w:vAlign w:val="center"/>
          </w:tcPr>
          <w:p>
            <w:pPr>
              <w:pStyle w:val="TableContents"/>
              <w:bidi w:val="0"/>
              <w:spacing w:before="0" w:after="283"/>
              <w:jc w:val="left"/>
              <w:rPr/>
            </w:pPr>
            <w:hyperlink w:anchor="a_004">
              <w:r>
                <w:rPr>
                  <w:rStyle w:val="InternetLink"/>
                </w:rPr>
                <w:t>Unresolved Staff Comments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52</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1C.</w:t>
            </w:r>
          </w:p>
        </w:tc>
        <w:tc>
          <w:tcPr>
            <w:tcW w:w="8399" w:type="dxa"/>
            <w:tcBorders/>
            <w:shd w:fill="CCEEFF" w:val="clear"/>
            <w:vAlign w:val="center"/>
          </w:tcPr>
          <w:p>
            <w:pPr>
              <w:pStyle w:val="TableContents"/>
              <w:bidi w:val="0"/>
              <w:spacing w:before="0" w:after="283"/>
              <w:jc w:val="left"/>
              <w:rPr/>
            </w:pPr>
            <w:hyperlink w:anchor="a_005">
              <w:r>
                <w:rPr>
                  <w:rStyle w:val="InternetLink"/>
                </w:rPr>
                <w:t>Cybersecurity</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53</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2.</w:t>
            </w:r>
          </w:p>
        </w:tc>
        <w:tc>
          <w:tcPr>
            <w:tcW w:w="8399" w:type="dxa"/>
            <w:tcBorders/>
            <w:shd w:fill="CCEEFF" w:val="clear"/>
            <w:vAlign w:val="center"/>
          </w:tcPr>
          <w:p>
            <w:pPr>
              <w:pStyle w:val="TableContents"/>
              <w:bidi w:val="0"/>
              <w:spacing w:before="0" w:after="283"/>
              <w:jc w:val="left"/>
              <w:rPr/>
            </w:pPr>
            <w:hyperlink w:anchor="a_006">
              <w:r>
                <w:rPr>
                  <w:rStyle w:val="InternetLink"/>
                </w:rPr>
                <w:t>Properties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53</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3.</w:t>
            </w:r>
          </w:p>
        </w:tc>
        <w:tc>
          <w:tcPr>
            <w:tcW w:w="8399" w:type="dxa"/>
            <w:tcBorders/>
            <w:shd w:fill="CCEEFF" w:val="clear"/>
            <w:vAlign w:val="center"/>
          </w:tcPr>
          <w:p>
            <w:pPr>
              <w:pStyle w:val="TableContents"/>
              <w:bidi w:val="0"/>
              <w:spacing w:before="0" w:after="283"/>
              <w:jc w:val="left"/>
              <w:rPr/>
            </w:pPr>
            <w:hyperlink w:anchor="a_007">
              <w:r>
                <w:rPr>
                  <w:rStyle w:val="InternetLink"/>
                </w:rPr>
                <w:t>Legel Proceedings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53</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4.</w:t>
            </w:r>
          </w:p>
        </w:tc>
        <w:tc>
          <w:tcPr>
            <w:tcW w:w="8399" w:type="dxa"/>
            <w:tcBorders/>
            <w:shd w:fill="CCEEFF" w:val="clear"/>
            <w:vAlign w:val="center"/>
          </w:tcPr>
          <w:p>
            <w:pPr>
              <w:pStyle w:val="TableContents"/>
              <w:bidi w:val="0"/>
              <w:spacing w:before="0" w:after="283"/>
              <w:jc w:val="left"/>
              <w:rPr/>
            </w:pPr>
            <w:hyperlink w:anchor="a_008">
              <w:r>
                <w:rPr>
                  <w:rStyle w:val="InternetLink"/>
                </w:rPr>
                <w:t>Mine Safety Disclosures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53</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hyperlink w:anchor="a_009">
              <w:r>
                <w:rPr>
                  <w:rStyle w:val="InternetLink"/>
                  <w:b/>
                  <w:u w:val="single"/>
                </w:rPr>
                <w:t>PART II</w:t>
              </w:r>
            </w:hyperlink>
          </w:p>
        </w:tc>
        <w:tc>
          <w:tcPr>
            <w:tcW w:w="83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 </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5.</w:t>
            </w:r>
          </w:p>
        </w:tc>
        <w:tc>
          <w:tcPr>
            <w:tcW w:w="8399" w:type="dxa"/>
            <w:tcBorders/>
            <w:shd w:fill="CCEEFF" w:val="clear"/>
            <w:vAlign w:val="center"/>
          </w:tcPr>
          <w:p>
            <w:pPr>
              <w:pStyle w:val="TableContents"/>
              <w:bidi w:val="0"/>
              <w:spacing w:before="0" w:after="283"/>
              <w:jc w:val="left"/>
              <w:rPr/>
            </w:pPr>
            <w:hyperlink w:anchor="a_010">
              <w:r>
                <w:rPr>
                  <w:rStyle w:val="InternetLink"/>
                </w:rPr>
                <w:t>Market for Registrant’s Common Equity, Related Stockholder Matters and Issuer Purchases of Equity Securities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54</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6.</w:t>
            </w:r>
          </w:p>
        </w:tc>
        <w:tc>
          <w:tcPr>
            <w:tcW w:w="8399" w:type="dxa"/>
            <w:tcBorders/>
            <w:shd w:fill="CCEEFF" w:val="clear"/>
            <w:vAlign w:val="center"/>
          </w:tcPr>
          <w:p>
            <w:pPr>
              <w:pStyle w:val="TableContents"/>
              <w:bidi w:val="0"/>
              <w:spacing w:before="0" w:after="283"/>
              <w:jc w:val="left"/>
              <w:rPr/>
            </w:pPr>
            <w:hyperlink w:anchor="a_011">
              <w:r>
                <w:rPr>
                  <w:rStyle w:val="InternetLink"/>
                </w:rPr>
                <w:t>[Reserved]</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54</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7.</w:t>
            </w:r>
          </w:p>
        </w:tc>
        <w:tc>
          <w:tcPr>
            <w:tcW w:w="8399" w:type="dxa"/>
            <w:tcBorders/>
            <w:shd w:fill="CCEEFF" w:val="clear"/>
            <w:vAlign w:val="center"/>
          </w:tcPr>
          <w:p>
            <w:pPr>
              <w:pStyle w:val="TableContents"/>
              <w:bidi w:val="0"/>
              <w:spacing w:before="0" w:after="283"/>
              <w:jc w:val="left"/>
              <w:rPr/>
            </w:pPr>
            <w:hyperlink w:anchor="a_012">
              <w:r>
                <w:rPr>
                  <w:rStyle w:val="InternetLink"/>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54</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8.</w:t>
            </w:r>
          </w:p>
        </w:tc>
        <w:tc>
          <w:tcPr>
            <w:tcW w:w="8399" w:type="dxa"/>
            <w:tcBorders/>
            <w:shd w:fill="CCEEFF" w:val="clear"/>
            <w:vAlign w:val="center"/>
          </w:tcPr>
          <w:p>
            <w:pPr>
              <w:pStyle w:val="TableContents"/>
              <w:bidi w:val="0"/>
              <w:spacing w:before="0" w:after="283"/>
              <w:jc w:val="left"/>
              <w:rPr/>
            </w:pPr>
            <w:hyperlink w:anchor="a_013">
              <w:r>
                <w:rPr>
                  <w:rStyle w:val="InternetLink"/>
                </w:rPr>
                <w:t>Financial Statements and Supplementary Data</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F-1</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9.</w:t>
            </w:r>
          </w:p>
        </w:tc>
        <w:tc>
          <w:tcPr>
            <w:tcW w:w="8399" w:type="dxa"/>
            <w:tcBorders/>
            <w:shd w:fill="CCEEFF" w:val="clear"/>
            <w:vAlign w:val="center"/>
          </w:tcPr>
          <w:p>
            <w:pPr>
              <w:pStyle w:val="TableContents"/>
              <w:bidi w:val="0"/>
              <w:spacing w:before="0" w:after="283"/>
              <w:jc w:val="left"/>
              <w:rPr/>
            </w:pPr>
            <w:hyperlink w:anchor="a_014">
              <w:r>
                <w:rPr>
                  <w:rStyle w:val="InternetLink"/>
                </w:rPr>
                <w:t>Changes in and Disagreements with Accountants on Accounting and Financial Disclosure</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68</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9A.</w:t>
            </w:r>
          </w:p>
        </w:tc>
        <w:tc>
          <w:tcPr>
            <w:tcW w:w="8399" w:type="dxa"/>
            <w:tcBorders/>
            <w:shd w:fill="CCEEFF" w:val="clear"/>
            <w:vAlign w:val="center"/>
          </w:tcPr>
          <w:p>
            <w:pPr>
              <w:pStyle w:val="TableContents"/>
              <w:bidi w:val="0"/>
              <w:spacing w:before="0" w:after="283"/>
              <w:jc w:val="left"/>
              <w:rPr/>
            </w:pPr>
            <w:hyperlink w:anchor="a_015">
              <w:r>
                <w:rPr>
                  <w:rStyle w:val="InternetLink"/>
                </w:rPr>
                <w:t>Controls and Procedures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68</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9B.</w:t>
            </w:r>
          </w:p>
        </w:tc>
        <w:tc>
          <w:tcPr>
            <w:tcW w:w="8399" w:type="dxa"/>
            <w:tcBorders/>
            <w:shd w:fill="CCEEFF" w:val="clear"/>
            <w:vAlign w:val="center"/>
          </w:tcPr>
          <w:p>
            <w:pPr>
              <w:pStyle w:val="TableContents"/>
              <w:bidi w:val="0"/>
              <w:spacing w:before="0" w:after="283"/>
              <w:jc w:val="left"/>
              <w:rPr/>
            </w:pPr>
            <w:hyperlink w:anchor="a_016">
              <w:r>
                <w:rPr>
                  <w:rStyle w:val="InternetLink"/>
                </w:rPr>
                <w:t>Other Information</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69</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9C.</w:t>
            </w:r>
          </w:p>
        </w:tc>
        <w:tc>
          <w:tcPr>
            <w:tcW w:w="8399" w:type="dxa"/>
            <w:tcBorders/>
            <w:shd w:fill="CCEEFF" w:val="clear"/>
            <w:vAlign w:val="center"/>
          </w:tcPr>
          <w:p>
            <w:pPr>
              <w:pStyle w:val="TableContents"/>
              <w:bidi w:val="0"/>
              <w:spacing w:before="0" w:after="283"/>
              <w:jc w:val="left"/>
              <w:rPr/>
            </w:pPr>
            <w:hyperlink w:anchor="a_017">
              <w:r>
                <w:rPr>
                  <w:rStyle w:val="InternetLink"/>
                </w:rPr>
                <w:t>Disclosure Regarding Foreign Jurisdictions that Prevent Inspections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69</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hyperlink w:anchor="a_018">
              <w:r>
                <w:rPr>
                  <w:rStyle w:val="InternetLink"/>
                  <w:b/>
                  <w:u w:val="single"/>
                </w:rPr>
                <w:t>PART III</w:t>
              </w:r>
            </w:hyperlink>
          </w:p>
        </w:tc>
        <w:tc>
          <w:tcPr>
            <w:tcW w:w="83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 </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10.</w:t>
            </w:r>
          </w:p>
        </w:tc>
        <w:tc>
          <w:tcPr>
            <w:tcW w:w="8399" w:type="dxa"/>
            <w:tcBorders/>
            <w:shd w:fill="CCEEFF" w:val="clear"/>
            <w:vAlign w:val="center"/>
          </w:tcPr>
          <w:p>
            <w:pPr>
              <w:pStyle w:val="TableContents"/>
              <w:bidi w:val="0"/>
              <w:spacing w:before="0" w:after="283"/>
              <w:jc w:val="left"/>
              <w:rPr/>
            </w:pPr>
            <w:hyperlink w:anchor="a_019">
              <w:r>
                <w:rPr>
                  <w:rStyle w:val="InternetLink"/>
                </w:rPr>
                <w:t>Directors, Executive Officers and Corporate Governance</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70</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11.</w:t>
            </w:r>
          </w:p>
        </w:tc>
        <w:tc>
          <w:tcPr>
            <w:tcW w:w="8399" w:type="dxa"/>
            <w:tcBorders/>
            <w:shd w:fill="CCEEFF" w:val="clear"/>
            <w:vAlign w:val="center"/>
          </w:tcPr>
          <w:p>
            <w:pPr>
              <w:pStyle w:val="TableContents"/>
              <w:bidi w:val="0"/>
              <w:spacing w:before="0" w:after="283"/>
              <w:jc w:val="left"/>
              <w:rPr/>
            </w:pPr>
            <w:hyperlink w:anchor="a_020">
              <w:r>
                <w:rPr>
                  <w:rStyle w:val="InternetLink"/>
                </w:rPr>
                <w:t>Executive Compensation</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78</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12.</w:t>
            </w:r>
          </w:p>
        </w:tc>
        <w:tc>
          <w:tcPr>
            <w:tcW w:w="8399" w:type="dxa"/>
            <w:tcBorders/>
            <w:shd w:fill="CCEEFF" w:val="clear"/>
            <w:vAlign w:val="center"/>
          </w:tcPr>
          <w:p>
            <w:pPr>
              <w:pStyle w:val="TableContents"/>
              <w:bidi w:val="0"/>
              <w:spacing w:before="0" w:after="283"/>
              <w:jc w:val="left"/>
              <w:rPr/>
            </w:pPr>
            <w:hyperlink w:anchor="a_021">
              <w:r>
                <w:rPr>
                  <w:rStyle w:val="InternetLink"/>
                </w:rPr>
                <w:t>Security Ownership of Certain Beneficial Owners and Management and Related Stockholder Matters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84</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13.</w:t>
            </w:r>
          </w:p>
        </w:tc>
        <w:tc>
          <w:tcPr>
            <w:tcW w:w="8399" w:type="dxa"/>
            <w:tcBorders/>
            <w:shd w:fill="CCEEFF" w:val="clear"/>
            <w:vAlign w:val="center"/>
          </w:tcPr>
          <w:p>
            <w:pPr>
              <w:pStyle w:val="TableContents"/>
              <w:bidi w:val="0"/>
              <w:spacing w:before="0" w:after="283"/>
              <w:jc w:val="left"/>
              <w:rPr/>
            </w:pPr>
            <w:hyperlink w:anchor="a_022">
              <w:r>
                <w:rPr>
                  <w:rStyle w:val="InternetLink"/>
                </w:rPr>
                <w:t>Certain Relationships and Related Transactions and Director Independence</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85</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14.</w:t>
            </w:r>
          </w:p>
        </w:tc>
        <w:tc>
          <w:tcPr>
            <w:tcW w:w="8399" w:type="dxa"/>
            <w:tcBorders/>
            <w:shd w:fill="CCEEFF" w:val="clear"/>
            <w:vAlign w:val="center"/>
          </w:tcPr>
          <w:p>
            <w:pPr>
              <w:pStyle w:val="TableContents"/>
              <w:bidi w:val="0"/>
              <w:spacing w:before="0" w:after="283"/>
              <w:jc w:val="left"/>
              <w:rPr/>
            </w:pPr>
            <w:hyperlink w:anchor="a_023">
              <w:r>
                <w:rPr>
                  <w:rStyle w:val="InternetLink"/>
                </w:rPr>
                <w:t>Principal Accounting Fees and Services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86</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hyperlink w:anchor="a_024">
              <w:r>
                <w:rPr>
                  <w:rStyle w:val="InternetLink"/>
                  <w:b/>
                  <w:u w:val="single"/>
                </w:rPr>
                <w:t>PART IV</w:t>
              </w:r>
            </w:hyperlink>
          </w:p>
        </w:tc>
        <w:tc>
          <w:tcPr>
            <w:tcW w:w="839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 </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15.</w:t>
            </w:r>
          </w:p>
        </w:tc>
        <w:tc>
          <w:tcPr>
            <w:tcW w:w="8399" w:type="dxa"/>
            <w:tcBorders/>
            <w:shd w:fill="CCEEFF" w:val="clear"/>
            <w:vAlign w:val="center"/>
          </w:tcPr>
          <w:p>
            <w:pPr>
              <w:pStyle w:val="TableContents"/>
              <w:bidi w:val="0"/>
              <w:spacing w:before="0" w:after="283"/>
              <w:jc w:val="left"/>
              <w:rPr/>
            </w:pPr>
            <w:hyperlink w:anchor="a_025">
              <w:r>
                <w:rPr>
                  <w:rStyle w:val="InternetLink"/>
                </w:rPr>
                <w:t>Exhibit and Financial Statement Schedules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87</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45" w:type="dxa"/>
            <w:tcBorders/>
            <w:shd w:fill="CCEEFF" w:val="clear"/>
            <w:vAlign w:val="center"/>
          </w:tcPr>
          <w:p>
            <w:pPr>
              <w:pStyle w:val="TableContents"/>
              <w:bidi w:val="0"/>
              <w:spacing w:before="0" w:after="283"/>
              <w:ind w:left="0" w:right="0" w:hanging="180"/>
              <w:jc w:val="left"/>
              <w:rPr/>
            </w:pPr>
            <w:r>
              <w:rPr/>
              <w:t>Item 16.</w:t>
            </w:r>
          </w:p>
        </w:tc>
        <w:tc>
          <w:tcPr>
            <w:tcW w:w="8399" w:type="dxa"/>
            <w:tcBorders/>
            <w:shd w:fill="CCEEFF" w:val="clear"/>
            <w:vAlign w:val="center"/>
          </w:tcPr>
          <w:p>
            <w:pPr>
              <w:pStyle w:val="TableContents"/>
              <w:bidi w:val="0"/>
              <w:spacing w:before="0" w:after="283"/>
              <w:jc w:val="left"/>
              <w:rPr/>
            </w:pPr>
            <w:hyperlink w:anchor="a_026">
              <w:r>
                <w:rPr>
                  <w:rStyle w:val="InternetLink"/>
                </w:rPr>
                <w:t>Form 10-K Summary</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88</w:t>
            </w:r>
          </w:p>
        </w:tc>
      </w:tr>
      <w:tr>
        <w:trPr/>
        <w:tc>
          <w:tcPr>
            <w:tcW w:w="945" w:type="dxa"/>
            <w:tcBorders/>
            <w:vAlign w:val="center"/>
          </w:tcPr>
          <w:p>
            <w:pPr>
              <w:pStyle w:val="TableContents"/>
              <w:bidi w:val="0"/>
              <w:spacing w:before="0" w:after="283"/>
              <w:ind w:left="0" w:right="0" w:hanging="180"/>
              <w:jc w:val="left"/>
              <w:rPr/>
            </w:pPr>
            <w:r>
              <w:rPr/>
              <w:t> </w:t>
            </w:r>
          </w:p>
        </w:tc>
        <w:tc>
          <w:tcPr>
            <w:tcW w:w="83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center"/>
              <w:rPr/>
            </w:pPr>
            <w:r>
              <w:rPr/>
              <w:t> </w:t>
            </w:r>
          </w:p>
        </w:tc>
      </w:tr>
      <w:tr>
        <w:trPr/>
        <w:tc>
          <w:tcPr>
            <w:tcW w:w="9344" w:type="dxa"/>
            <w:gridSpan w:val="2"/>
            <w:tcBorders/>
            <w:shd w:fill="CCEEFF" w:val="clear"/>
            <w:vAlign w:val="center"/>
          </w:tcPr>
          <w:p>
            <w:pPr>
              <w:pStyle w:val="TableContents"/>
              <w:bidi w:val="0"/>
              <w:spacing w:before="0" w:after="283"/>
              <w:jc w:val="left"/>
              <w:rPr/>
            </w:pPr>
            <w:hyperlink w:anchor="a_027">
              <w:r>
                <w:rPr>
                  <w:rStyle w:val="InternetLink"/>
                  <w:b/>
                </w:rPr>
                <w:t>SIGNATURES</w:t>
              </w:r>
            </w:hyperlink>
          </w:p>
        </w:tc>
        <w:tc>
          <w:tcPr>
            <w:tcW w:w="9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center"/>
              <w:rPr/>
            </w:pPr>
            <w:r>
              <w:rPr/>
              <w:t>89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document to “the Company,” “we,” “us,” or “our” refer to CID HoldCo, Inc. and its subsidiaries, unless the context specifically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the Private Securities Litigation Reform Act of 1995, Section 27A of the Securities Act of 1933, as amended, and Section 21E of the Securities Exchange Act of 1934, as amended (“Exchange Act”). All statements in this report other than historical facts are forward-looking and are based on current estimates, assumptions, trends, and projections. Statements which include the words “believes,” “seeks,” “expects,” “may,” “should,” “intends,” “likely,” “targets,” “plans,” “anticipates,” “estimates,” or the negative version of those words and similar expressions are intended to identify forward-looking statements. Numerous important factors, risks and uncertainties affect our operating results, including, without limitation, those described in the Registration Statement on Form S-4, filed with the U.S. SEC on October 11, 2024 (as amended, the “Form S-4”) and as updated in the Current Report on Form 8-K filed with the U.S. Securities and Exchange Commission on June 26, 2025 relating to the closing of our business combination with ShoulderUp Technology Acquisition Corp, a Delaware corporation, ShoulderUp Merger Sub, Inc., a Delaware corporation, SEI Merger Sub, Inc., a Delaware Corporation and SEE ID, Inc., a Nevada corporation (“Closing Form 8-K”) and in this Annual Report on Form 10-K, and could cause our actual results to differ materially from the results implied by these or any other forward-looking statements made by us or on our behalf. You should pay particular attention to the important risk factors and cautionary statements described in the section of our Form S-4 and Closing Form 8-K respectively entitled “Risk Factors” and the section of this Annual Report on Form 10-K entitled “Risk Factors.” You should also carefully review the cautionary statements described in the other documents we file with the SEC, including all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forward-looking statements as predictions of future events, as we cannot guarantee that future results, levels of activity, performance or achievements will meet expectations. The forward-looking statements made herein are only made as of the date hereof, and we undertake no obligation to publicly update such forward-looking statements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in the section entitled “Item 1A. Risk Factors”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Associated with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We have identified material weaknesses in our internal control over financial reporting and have limited experience operating as a public company.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Our success and our ability to grow the Company’s business depends on retaining and expanding the Company’s customer base which could be impaired by security incidents, software bugs and our limited operating history.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Our independent registered public accounting firm has expressed substantial doubt about our ability to continue as a “going concern.” If we are unable to maintain sufficient liquidity to fund operations, meet our obligations and attract new customers, our business, revenue, and financial condition could be materially harmed.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Our estimates of market opportunity and growth may be inaccurate, and we may not successfully execute our strategic initiatives, expand our relationships with existing customers or achieve our long-term financial goals.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Our ability to compete depends on the continued development, reliability, security, and interoperability of our Dot Cloud SaaS platform.  Failure to keep pace with technological change, industry standards, regulatory requirements, or customer needs could harm our business.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Our ability to grow our business is dependent in part on strategic relationships we develop and maintain with third parties including a key supplier in Israel. The possibility of having to switch suppliers may adversely affect our results of operations.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If we do not develop devices that are compatible with third-party hardware, software and infrastructure, including the many evolving wireless industry standards, our ability to introduce and sell new subscriptions to access our Dot Cloud SaaS platform and  ability to compete effectively against increasing competition could suffer.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competitive position of our Dot Cloud SaaS platform depends in part on its ability to operate with a wide variety of data sources and infrastructure, and if we are not successful expanding the compatibility with such data sources and infrastructure, our business, financial condition, and results of operations could be adversely impacted.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Changes in our subscription pricing models or ability for our customers to obtain third-party financing could adversely affect our business, financial condition and results of operations.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If we are unable to achieve and sustain a level of liquidity sufficient to support our operations and fulfill our obligations, our business, financial condition, and results of operations could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Regulatory or Compliance Risks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Changes in tax laws, AI regulations, trade controls, sanctions, and conflict minerals rules could increase costs, disrupt operations, or negatively impact financial results.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Failure to comply with anti-corruption, anti-money laundering (including FCPA), export/import, or other applicable laws and contractual requirements could result in fines, penalties, loss of government contracts, or other adverse consequences.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Non-compliance by third parties (e.g., partners, resellers, vendors, contractors) could expose us to regulatory liability, penalties, and reputational harm.</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Related to Cybersecurity and Technology</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Cybersecurity incidents, system failures, bugs, or service disruptions (including third-party hosting or services) could impair operations, compromise data or customer assets, and materially harm our reputation and financial results.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Misuse of internal controls or misappropriation of data may cause operational, financial, and reputational damage.</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Failure to adequately protect or enforce our intellectual property rights—including patents, trade secrets, open-source usage, indemnification obligations, and reliance on third-party licenses—could expose us to litigation, liability, increased costs, or limit our ability to commercialize our solutions.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Risks associated with the use of artificial intelligence in our solutions may result in regulatory scrutiny, reputational harm, or legal liability.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Related to Being a Public Company</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Our Common Stock and Public Warrants may experience significant price and trading volatility, and we may face challenges raising capital in the future.</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As a public company, we are subject to extensive regulatory, reporting, and listing requirements (including Nasdaq standards), which increase costs, strain resources, and may divert management’s attention; failure to meet these requirements could result in delisting.</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Our management team’s limited public company experience and the demands of maintaining effective internal controls may impact operations, governance, and our ability to attract and retain qualified leadership.</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Exclusive forum provisions in our Charter may limit stockholders’ choice of judicial forum for certain disputes.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Reliance on market forecasts and growth projections may prove inaccurate, and securities litigation or stockholder activism could result in significant expense, reputational harm, and stock price impact.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asset tracking services allow customers to improve many workflows,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CID Holdco brings a next generation capability to know when, where and why assets move in the enterprise, providing an opportunity to apply AI to complex edge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that need to know when, where and why assets and personnel are moving, and to have assurance that orders are progressing, CID Holdco provides a variety of solutions across many use cases,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Management and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 and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Military Operations and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Airport and Aviation Ground Support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solutions allow customers to create a connected network of vehicles, ground support equipment (“GSE”) and personnel with more control over the coordination of airport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Forklift Collision Warning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Medical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RTLS healthcare system includes a comprehensive digital pattern of human and asset movement and their use and interaction, so that customers get actionable insights to improve patient experience and outcome while optimizing internal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Artificial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8"/>
        <w:gridCol w:w="9979"/>
      </w:tblGrid>
      <w:tr>
        <w:trPr/>
        <w:tc>
          <w:tcPr>
            <w:tcW w:w="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w:t>
            </w:r>
            <w:r>
              <w:rPr>
                <w:rFonts w:ascii="Times New Roman;Times;Serif" w:hAnsi="Times New Roman;Times;Serif"/>
                <w:b/>
                <w:i w:val="false"/>
                <w:caps w:val="false"/>
                <w:smallCaps w:val="false"/>
                <w:sz w:val="20"/>
              </w:rPr>
              <w:t>AI Cameras</w:t>
            </w:r>
            <w:r>
              <w:rPr>
                <w:rFonts w:ascii="Times New Roman;Times;Serif" w:hAnsi="Times New Roman;Times;Serif"/>
                <w:b w:val="false"/>
                <w:i w:val="false"/>
                <w:caps w:val="false"/>
                <w:smallCaps w:val="false"/>
                <w:sz w:val="20"/>
              </w:rPr>
              <w:t>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0"/>
        <w:gridCol w:w="9977"/>
      </w:tblGrid>
      <w:tr>
        <w:trPr/>
        <w:tc>
          <w:tcPr>
            <w:tcW w:w="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w:t>
            </w:r>
            <w:r>
              <w:rPr>
                <w:rFonts w:ascii="Times New Roman;Times;Serif" w:hAnsi="Times New Roman;Times;Serif"/>
                <w:b/>
                <w:i w:val="false"/>
                <w:caps w:val="false"/>
                <w:smallCaps w:val="false"/>
                <w:sz w:val="20"/>
              </w:rPr>
              <w:t>Rules Engine</w:t>
            </w:r>
            <w:r>
              <w:rPr>
                <w:rFonts w:ascii="Times New Roman;Times;Serif" w:hAnsi="Times New Roman;Times;Serif"/>
                <w:b w:val="false"/>
                <w:i w:val="false"/>
                <w:caps w:val="false"/>
                <w:smallCaps w:val="false"/>
                <w:sz w:val="20"/>
              </w:rPr>
              <w:t>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9"/>
        <w:gridCol w:w="9978"/>
      </w:tblGrid>
      <w:tr>
        <w:trPr/>
        <w:tc>
          <w:tcPr>
            <w:tcW w:w="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AI to implement </w:t>
            </w:r>
            <w:r>
              <w:rPr>
                <w:rFonts w:ascii="Times New Roman;Times;Serif" w:hAnsi="Times New Roman;Times;Serif"/>
                <w:b/>
                <w:i w:val="false"/>
                <w:caps w:val="false"/>
                <w:smallCaps w:val="false"/>
                <w:sz w:val="20"/>
              </w:rPr>
              <w:t>Enhanced Workflows</w:t>
            </w:r>
            <w:r>
              <w:rPr>
                <w:rFonts w:ascii="Times New Roman;Times;Serif" w:hAnsi="Times New Roman;Times;Serif"/>
                <w:b w:val="false"/>
                <w:i w:val="false"/>
                <w:caps w:val="false"/>
                <w:smallCaps w:val="false"/>
                <w:sz w:val="20"/>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based in the United States with four existing or planned locations of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 hosts our Go-To-Market team including our Sales, Marketing and Professional Services leadership, a Western Experience Center for demonstrations as well as customer and channel training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Maryland — hosts our General &amp; Administration leadership team, an Eastern Experience Center for demonstrations as well as customer and channel training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Manati, Puerto Rico — the site of our hardware manufacturing, a small factory producing selected tags and bridges that are specific to the unique tracking system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Leaders in Tracking and AutoID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Zebra</w:t>
      </w:r>
      <w:r>
        <w:rPr>
          <w:rFonts w:ascii="Times New Roman;Times;Serif" w:hAnsi="Times New Roman;Times;Serif"/>
          <w:b w:val="false"/>
          <w:i w:val="false"/>
          <w:caps w:val="false"/>
          <w:smallCaps w:val="false"/>
          <w:sz w:val="20"/>
        </w:rPr>
        <w:t>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Samsara</w:t>
      </w:r>
      <w:r>
        <w:rPr>
          <w:rFonts w:ascii="Times New Roman;Times;Serif" w:hAnsi="Times New Roman;Times;Serif"/>
          <w:b w:val="false"/>
          <w:i w:val="false"/>
          <w:caps w:val="false"/>
          <w:smallCaps w:val="false"/>
          <w:sz w:val="20"/>
        </w:rPr>
        <w:t>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HID Global</w:t>
      </w:r>
      <w:r>
        <w:rPr>
          <w:rFonts w:ascii="Times New Roman;Times;Serif" w:hAnsi="Times New Roman;Times;Serif"/>
          <w:b w:val="false"/>
          <w:i w:val="false"/>
          <w:caps w:val="false"/>
          <w:smallCaps w:val="false"/>
          <w:sz w:val="20"/>
        </w:rPr>
        <w:t>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Niche or Regional Tracking System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crowded with small players as is typical in periods of generational transition. Many are attempting to apply IoT technology in a specific way or focused on a particular vertical application. 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 There are also passive RFID and barcode system companies active in the market. Their legacy footprint represents one of the best market opportunities to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Automation and Sensor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ERP, MES or WMS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Infrastructure and Integrator Vendor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Workflow Automation, Integration &amp; AI Vendor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competitive factors in the markets in which we operate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 Implementation</w:t>
            </w:r>
            <w:r>
              <w:rPr>
                <w:rFonts w:ascii="Times New Roman;Times;Serif" w:hAnsi="Times New Roman;Times;Serif"/>
                <w:b w:val="false"/>
                <w:i w:val="false"/>
                <w:caps w:val="false"/>
                <w:smallCaps w:val="false"/>
                <w:sz w:val="20"/>
              </w:rPr>
              <w:t> — while this is an emerging area, we are investing heavily in this battleground feature. We believe that soon the most important aspect of the buying decision will be the extent to which AI has been implemented to simplify the complex logistics processes and intervene when needed to enable greater enterprise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TCO (Total Cost of Ownership) </w:t>
            </w:r>
            <w:r>
              <w:rPr>
                <w:rFonts w:ascii="Times New Roman;Times;Serif" w:hAnsi="Times New Roman;Times;Serif"/>
                <w:b w:val="false"/>
                <w:i w:val="false"/>
                <w:caps w:val="false"/>
                <w:smallCaps w:val="false"/>
                <w:sz w:val="20"/>
              </w:rPr>
              <w:t>— Our systems are intended to run for decades in an enterprise, with costs over that time playing a key role in the buying decision. The ability for the customer to extend the system easily, not be subject to custom programming charges, avoid proprietary devices and keep pace with data structure and security changes is an important competitive advantage.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ROI (Return on Investment) </w:t>
            </w:r>
            <w:r>
              <w:rPr>
                <w:rFonts w:ascii="Times New Roman;Times;Serif" w:hAnsi="Times New Roman;Times;Serif"/>
                <w:b w:val="false"/>
                <w:i w:val="false"/>
                <w:caps w:val="false"/>
                <w:smallCaps w:val="false"/>
                <w:sz w:val="20"/>
              </w:rPr>
              <w:t>— Our value to the enterprise vs the benefit is part of every buy decision. This includes the total cost of ownership 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Accuracy and Reliability</w:t>
            </w:r>
            <w:r>
              <w:rPr>
                <w:rFonts w:ascii="Times New Roman;Times;Serif" w:hAnsi="Times New Roman;Times;Serif"/>
                <w:b w:val="false"/>
                <w:i w:val="false"/>
                <w:caps w:val="false"/>
                <w:smallCaps w:val="false"/>
                <w:sz w:val="20"/>
              </w:rPr>
              <w:t> — many competitors advertise pinpoint location accuracy to win customers. However, most processes do not need 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Support Services</w:t>
            </w:r>
            <w:r>
              <w:rPr>
                <w:rFonts w:ascii="Times New Roman;Times;Serif" w:hAnsi="Times New Roman;Times;Serif"/>
                <w:b w:val="false"/>
                <w:i w:val="false"/>
                <w:caps w:val="false"/>
                <w:smallCaps w:val="false"/>
                <w:sz w:val="20"/>
              </w:rPr>
              <w:t> — The processes that we impact are critical to the functioning of an enterprise. To commit to this new technology, users need to 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Friendly country sourcing </w:t>
            </w:r>
            <w:r>
              <w:rPr>
                <w:rFonts w:ascii="Times New Roman;Times;Serif" w:hAnsi="Times New Roman;Times;Serif"/>
                <w:b w:val="false"/>
                <w:i w:val="false"/>
                <w:caps w:val="false"/>
                <w:smallCaps w:val="false"/>
                <w:sz w:val="20"/>
              </w:rPr>
              <w:t>— So many competitors rely on Chinese or Taiwan sourcing, excluding them from consideration for USA Government or Military contracts and making them less desirable for private sector selection. Sourcing from DFAR compliant countries and making our core components in the USA positions us particularly well for the crucial US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Growth Strategies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the following growth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Focused Customer Acquisition: </w:t>
      </w:r>
      <w:r>
        <w:rPr>
          <w:rFonts w:ascii="Times New Roman;Times;Serif" w:hAnsi="Times New Roman;Times;Serif"/>
          <w:b w:val="false"/>
          <w:i w:val="false"/>
          <w:caps w:val="false"/>
          <w:smallCaps w:val="false"/>
          <w:sz w:val="20"/>
        </w:rPr>
        <w:t>With a rapidly digitizing market, we believe that there is a significant opportunity to continue to grow our customer base as we promote our capabilities. We plan to continually invest in our sales and marketing coverage, including channel partners, and leverage our go-to-market model to continue acquiring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Expand Within Our Existing Customer Base.  </w:t>
      </w:r>
      <w:r>
        <w:rPr>
          <w:rFonts w:ascii="Times New Roman;Times;Serif" w:hAnsi="Times New Roman;Times;Serif"/>
          <w:b w:val="false"/>
          <w:i w:val="false"/>
          <w:caps w:val="false"/>
          <w:smallCaps w:val="false"/>
          <w:sz w:val="20"/>
        </w:rPr>
        <w:t>Once we solve the first problem for our customers, we see a significant opportunity to expand application adoption within that same account. This includes increasing the number of physical assets enrolled as well as expanding across our customers’ multiple sites and divisions.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Customer-centric Innovation and Rapid Product Releases. </w:t>
      </w:r>
      <w:r>
        <w:rPr>
          <w:rFonts w:ascii="Times New Roman;Times;Serif" w:hAnsi="Times New Roman;Times;Serif"/>
          <w:b w:val="false"/>
          <w:i w:val="false"/>
          <w:caps w:val="false"/>
          <w:smallCaps w:val="false"/>
          <w:sz w:val="20"/>
        </w:rPr>
        <w:t>Our architecture was designed as a platform from the beginning to enable fast turns and 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Channel development.  </w:t>
      </w:r>
      <w:r>
        <w:rPr>
          <w:rFonts w:ascii="Times New Roman;Times;Serif" w:hAnsi="Times New Roman;Times;Serif"/>
          <w:b w:val="false"/>
          <w:i w:val="false"/>
          <w:caps w:val="false"/>
          <w:smallCaps w:val="false"/>
          <w:sz w:val="20"/>
        </w:rPr>
        <w:t>Our vision is to be a channel focused company. Rapid acquisition of targeted channel partners in all of the global markets will be a primary metric. Our unique technology, very attractive commercial model, as well as the training and support capability we offer will drive channel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Expand Technology Partnerships and Integrations. </w:t>
      </w:r>
      <w:r>
        <w:rPr>
          <w:rFonts w:ascii="Times New Roman;Times;Serif" w:hAnsi="Times New Roman;Times;Serif"/>
          <w:b w:val="false"/>
          <w:i w:val="false"/>
          <w:caps w:val="false"/>
          <w:smallCaps w:val="false"/>
          <w:sz w:val="20"/>
        </w:rPr>
        <w:t>Our use of COTS devices and integration with existing software for many of our solutions makes 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Expand Internationally. </w:t>
      </w:r>
      <w:r>
        <w:rPr>
          <w:rFonts w:ascii="Times New Roman;Times;Serif" w:hAnsi="Times New Roman;Times;Serif"/>
          <w:b w:val="false"/>
          <w:i w:val="false"/>
          <w:caps w:val="false"/>
          <w:smallCaps w:val="false"/>
          <w:sz w:val="20"/>
        </w:rPr>
        <w:t>A key focus of our company is to continue to expand our global reach. In the short term we are already expanding channel in 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Monetizing data streams. </w:t>
      </w:r>
      <w:r>
        <w:rPr>
          <w:rFonts w:ascii="Times New Roman;Times;Serif" w:hAnsi="Times New Roman;Times;Serif"/>
          <w:b w:val="false"/>
          <w:i w:val="false"/>
          <w:caps w:val="false"/>
          <w:smallCaps w:val="false"/>
          <w:sz w:val="20"/>
        </w:rPr>
        <w:t>As a data producer, the Company has access to valuable data that is of interest to industry analysts, financial markets, 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Acquisitions. </w:t>
      </w:r>
      <w:r>
        <w:rPr>
          <w:rFonts w:ascii="Times New Roman;Times;Serif" w:hAnsi="Times New Roman;Times;Serif"/>
          <w:b w:val="false"/>
          <w:i w:val="false"/>
          <w:caps w:val="false"/>
          <w:smallCaps w:val="false"/>
          <w:sz w:val="20"/>
        </w:rPr>
        <w:t>Note that it is likely that we will also look to accelerate growth by acquisition. Potential targets are being evaluated based on the extent to which they can help us in one or more of the strategies’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Supply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 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pStyle w:val="TextBody"/>
        <w:bidi w:val="0"/>
        <w:spacing w:before="0" w:after="0"/>
        <w:ind w:left="0" w:right="0" w:hanging="0"/>
        <w:jc w:val="center"/>
        <w:rPr>
          <w:caps w:val="false"/>
          <w:smallCaps w:val="false"/>
        </w:rPr>
      </w:pPr>
      <w:r>
        <w:rPr>
          <w:caps w:val="false"/>
          <w:smallCaps w:val="false"/>
        </w:rPr>
        <w:t> </w:t>
      </w:r>
    </w:p>
    <w:tbl>
      <w:tblPr>
        <w:tblW w:w="10520" w:type="dxa"/>
        <w:jc w:val="left"/>
        <w:tblInd w:w="0" w:type="dxa"/>
        <w:tblLayout w:type="fixed"/>
        <w:tblCellMar>
          <w:top w:w="0" w:type="dxa"/>
          <w:left w:w="0" w:type="dxa"/>
          <w:bottom w:w="0" w:type="dxa"/>
          <w:right w:w="0" w:type="dxa"/>
        </w:tblCellMar>
      </w:tblPr>
      <w:tblGrid>
        <w:gridCol w:w="1460"/>
        <w:gridCol w:w="90"/>
        <w:gridCol w:w="90"/>
        <w:gridCol w:w="1385"/>
        <w:gridCol w:w="90"/>
        <w:gridCol w:w="90"/>
        <w:gridCol w:w="1925"/>
        <w:gridCol w:w="90"/>
        <w:gridCol w:w="1340"/>
        <w:gridCol w:w="90"/>
        <w:gridCol w:w="1325"/>
        <w:gridCol w:w="90"/>
        <w:gridCol w:w="1175"/>
        <w:gridCol w:w="90"/>
        <w:gridCol w:w="1190"/>
      </w:tblGrid>
      <w:tr>
        <w:trPr/>
        <w:tc>
          <w:tcPr>
            <w:tcW w:w="1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Admin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25" w:type="dxa"/>
            <w:tcBorders>
              <w:bottom w:val="single" w:sz="12" w:space="0" w:color="000000"/>
            </w:tcBorders>
            <w:tcMar>
              <w:bottom w:w="28" w:type="dxa"/>
            </w:tcMar>
            <w:vAlign w:val="center"/>
          </w:tcPr>
          <w:p>
            <w:pPr>
              <w:pStyle w:val="TableContents"/>
              <w:bidi w:val="0"/>
              <w:spacing w:before="0" w:after="283"/>
              <w:jc w:val="center"/>
              <w:rPr>
                <w:b/>
              </w:rPr>
            </w:pPr>
            <w:r>
              <w:rPr>
                <w:b/>
              </w:rPr>
              <w:t>Corporate HQ</w:t>
            </w:r>
          </w:p>
        </w:tc>
        <w:tc>
          <w:tcPr>
            <w:tcW w:w="90" w:type="dxa"/>
            <w:tcBorders/>
            <w:vAlign w:val="center"/>
          </w:tcPr>
          <w:p>
            <w:pPr>
              <w:pStyle w:val="TableContents"/>
              <w:bidi w:val="0"/>
              <w:spacing w:before="0" w:after="283"/>
              <w:jc w:val="center"/>
              <w:rPr/>
            </w:pPr>
            <w:r>
              <w:rPr/>
              <w:t> </w:t>
            </w:r>
          </w:p>
        </w:tc>
        <w:tc>
          <w:tcPr>
            <w:tcW w:w="1340" w:type="dxa"/>
            <w:tcBorders>
              <w:bottom w:val="single" w:sz="12" w:space="0" w:color="000000"/>
            </w:tcBorders>
            <w:tcMar>
              <w:bottom w:w="28" w:type="dxa"/>
            </w:tcMar>
            <w:vAlign w:val="center"/>
          </w:tcPr>
          <w:p>
            <w:pPr>
              <w:pStyle w:val="TableContents"/>
              <w:bidi w:val="0"/>
              <w:spacing w:before="0" w:after="283"/>
              <w:jc w:val="center"/>
              <w:rPr>
                <w:b/>
              </w:rPr>
            </w:pPr>
            <w:r>
              <w:rPr>
                <w:b/>
              </w:rPr>
              <w:t>Systems Lab</w:t>
            </w:r>
          </w:p>
        </w:tc>
        <w:tc>
          <w:tcPr>
            <w:tcW w:w="90" w:type="dxa"/>
            <w:tcBorders/>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Assembly &amp;</w:t>
              <w:br/>
              <w:t>Test</w:t>
            </w:r>
          </w:p>
        </w:tc>
        <w:tc>
          <w:tcPr>
            <w:tcW w:w="90" w:type="dxa"/>
            <w:tcBorders/>
            <w:vAlign w:val="center"/>
          </w:tcPr>
          <w:p>
            <w:pPr>
              <w:pStyle w:val="TableContents"/>
              <w:bidi w:val="0"/>
              <w:spacing w:before="0" w:after="283"/>
              <w:jc w:val="center"/>
              <w:rPr/>
            </w:pPr>
            <w:r>
              <w:rPr/>
              <w:t> </w:t>
            </w:r>
          </w:p>
        </w:tc>
        <w:tc>
          <w:tcPr>
            <w:tcW w:w="1175" w:type="dxa"/>
            <w:tcBorders>
              <w:bottom w:val="single" w:sz="12" w:space="0" w:color="000000"/>
            </w:tcBorders>
            <w:tcMar>
              <w:bottom w:w="28" w:type="dxa"/>
            </w:tcMar>
            <w:vAlign w:val="center"/>
          </w:tcPr>
          <w:p>
            <w:pPr>
              <w:pStyle w:val="TableContents"/>
              <w:bidi w:val="0"/>
              <w:spacing w:before="0" w:after="283"/>
              <w:jc w:val="center"/>
              <w:rPr>
                <w:b/>
              </w:rPr>
            </w:pPr>
            <w:r>
              <w:rPr>
                <w:b/>
              </w:rPr>
              <w:t>EU</w:t>
              <w:br/>
              <w:t>Subsidiary</w:t>
            </w:r>
          </w:p>
        </w:tc>
        <w:tc>
          <w:tcPr>
            <w:tcW w:w="90" w:type="dxa"/>
            <w:tcBorders/>
            <w:vAlign w:val="center"/>
          </w:tcPr>
          <w:p>
            <w:pPr>
              <w:pStyle w:val="TableContents"/>
              <w:bidi w:val="0"/>
              <w:spacing w:before="0" w:after="283"/>
              <w:jc w:val="center"/>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b/>
              </w:rPr>
            </w:pPr>
            <w:r>
              <w:rPr>
                <w:b/>
              </w:rPr>
              <w:t>India</w:t>
              <w:br/>
              <w:t>Subsidiary</w:t>
            </w:r>
          </w:p>
        </w:tc>
      </w:tr>
      <w:tr>
        <w:trPr/>
        <w:tc>
          <w:tcPr>
            <w:tcW w:w="1460" w:type="dxa"/>
            <w:tcBorders/>
            <w:shd w:fill="CCEEFF" w:val="clear"/>
            <w:vAlign w:val="center"/>
          </w:tcPr>
          <w:p>
            <w:pPr>
              <w:pStyle w:val="TableContents"/>
              <w:bidi w:val="0"/>
              <w:spacing w:before="0" w:after="283"/>
              <w:jc w:val="left"/>
              <w:rPr>
                <w:b/>
              </w:rPr>
            </w:pPr>
            <w:r>
              <w:rPr>
                <w:b/>
              </w:rPr>
              <w:t>Location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385" w:type="dxa"/>
            <w:tcBorders/>
            <w:shd w:fill="CCEEFF" w:val="clear"/>
            <w:vAlign w:val="center"/>
          </w:tcPr>
          <w:p>
            <w:pPr>
              <w:pStyle w:val="TableContents"/>
              <w:bidi w:val="0"/>
              <w:spacing w:before="0" w:after="283"/>
              <w:jc w:val="center"/>
              <w:rPr/>
            </w:pPr>
            <w:r>
              <w:rPr/>
              <w:t>Bethesda, Maryland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Las Vegas,</w:t>
              <w:br/>
              <w:t>Nevada</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Worcester, Massachusetts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Manati,</w:t>
              <w:br/>
              <w:t>Puerto Rico</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Germany or Switzerland</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Bangalore, India</w:t>
            </w:r>
          </w:p>
        </w:tc>
      </w:tr>
      <w:tr>
        <w:trPr/>
        <w:tc>
          <w:tcPr>
            <w:tcW w:w="1460" w:type="dxa"/>
            <w:tcBorders/>
            <w:vAlign w:val="center"/>
          </w:tcPr>
          <w:p>
            <w:pPr>
              <w:pStyle w:val="TableContents"/>
              <w:bidi w:val="0"/>
              <w:spacing w:before="0" w:after="283"/>
              <w:jc w:val="left"/>
              <w:rPr>
                <w:b/>
              </w:rPr>
            </w:pPr>
            <w:r>
              <w:rPr>
                <w:b/>
              </w:rPr>
              <w:t>Size (sq ft)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pPr>
            <w:r>
              <w:rPr/>
              <w:t>2,969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2,000</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600</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16,000</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p>
        </w:tc>
      </w:tr>
      <w:tr>
        <w:trPr/>
        <w:tc>
          <w:tcPr>
            <w:tcW w:w="1460" w:type="dxa"/>
            <w:tcBorders/>
            <w:shd w:fill="CCEEFF" w:val="clear"/>
            <w:vAlign w:val="center"/>
          </w:tcPr>
          <w:p>
            <w:pPr>
              <w:pStyle w:val="TableContents"/>
              <w:bidi w:val="0"/>
              <w:spacing w:before="0" w:after="283"/>
              <w:jc w:val="left"/>
              <w:rPr>
                <w:b/>
              </w:rPr>
            </w:pPr>
            <w:r>
              <w:rPr>
                <w:b/>
              </w:rPr>
              <w:t>Terms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1385" w:type="dxa"/>
            <w:tcBorders/>
            <w:shd w:fill="CCEEFF" w:val="clear"/>
            <w:vAlign w:val="center"/>
          </w:tcPr>
          <w:p>
            <w:pPr>
              <w:pStyle w:val="TableContents"/>
              <w:bidi w:val="0"/>
              <w:spacing w:before="0" w:after="283"/>
              <w:jc w:val="center"/>
              <w:rPr/>
            </w:pPr>
            <w:r>
              <w:rPr/>
              <w:t>63 months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annual sub-lease</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monthly lease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monthly lease</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TBD</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TBD</w:t>
            </w:r>
          </w:p>
        </w:tc>
      </w:tr>
      <w:tr>
        <w:trPr/>
        <w:tc>
          <w:tcPr>
            <w:tcW w:w="1460" w:type="dxa"/>
            <w:tcBorders/>
            <w:vAlign w:val="center"/>
          </w:tcPr>
          <w:p>
            <w:pPr>
              <w:pStyle w:val="TableContents"/>
              <w:bidi w:val="0"/>
              <w:spacing w:before="0" w:after="283"/>
              <w:jc w:val="left"/>
              <w:rPr>
                <w:b/>
              </w:rPr>
            </w:pPr>
            <w:r>
              <w:rPr>
                <w:b/>
              </w:rPr>
              <w:t>Lessor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pPr>
            <w:r>
              <w:rPr/>
              <w:t>IN-REL 7500 OGR, LLC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POPE TECHNOLOGIES</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18 Phoenix Park LLC</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Cruce Davila Development LLC</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p>
        </w:tc>
      </w:tr>
      <w:tr>
        <w:trPr/>
        <w:tc>
          <w:tcPr>
            <w:tcW w:w="1460" w:type="dxa"/>
            <w:tcBorders/>
            <w:shd w:fill="CCEEFF" w:val="clear"/>
            <w:vAlign w:val="center"/>
          </w:tcPr>
          <w:p>
            <w:pPr>
              <w:pStyle w:val="TableContents"/>
              <w:bidi w:val="0"/>
              <w:spacing w:before="0" w:after="283"/>
              <w:jc w:val="left"/>
              <w:rPr>
                <w:b/>
              </w:rPr>
            </w:pPr>
            <w:r>
              <w:rPr>
                <w:b/>
              </w:rPr>
              <w:t>Monthly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385" w:type="dxa"/>
            <w:tcBorders/>
            <w:shd w:fill="CCEEFF" w:val="clear"/>
            <w:vAlign w:val="center"/>
          </w:tcPr>
          <w:p>
            <w:pPr>
              <w:pStyle w:val="TableContents"/>
              <w:bidi w:val="0"/>
              <w:spacing w:before="0" w:after="283"/>
              <w:jc w:val="center"/>
              <w:rPr/>
            </w:pPr>
            <w:r>
              <w:rPr/>
              <w:t>$7,263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$1,280</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$2,060</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$9,333</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real property. We believe that these facilities are suitable to meet our needs in the short term, and that, when needed, suitable additional or alternative space will be available to accommodate any expansion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Times;Serif" w:hAnsi="Times New Roman;Times;Serif"/>
          <w:b w:val="false"/>
          <w:i/>
          <w:caps w:val="false"/>
          <w:smallCaps w:val="false"/>
          <w:sz w:val="20"/>
        </w:rPr>
        <w:t>Risk Factors — Intellectual Property</w:t>
      </w:r>
      <w:r>
        <w:rPr>
          <w:rFonts w:ascii="Times New Roman;Times;Serif" w:hAnsi="Times New Roman;Times;Serif"/>
          <w:b w:val="false"/>
          <w:i w:val="false"/>
          <w:caps w:val="false"/>
          <w:smallCaps w:val="false"/>
          <w:sz w:val="20"/>
        </w:rPr>
        <w:t>” for a discussion of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variety of laws and regulations in the United States and other jurisdictions and devote considerable resources to compliance with these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and Privacy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Risk Factors — Risks Related to Government Regulation</w:t>
      </w:r>
      <w:r>
        <w:rPr>
          <w:rFonts w:ascii="Times New Roman;Times;Serif" w:hAnsi="Times New Roman;Times;Serif"/>
          <w:b w:val="false"/>
          <w:i w:val="false"/>
          <w:caps w:val="false"/>
          <w:smallCaps w:val="false"/>
          <w:sz w:val="20"/>
        </w:rPr>
        <w:t>” for additional information about the laws and regulations to which we are subject and the risks to our business associated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made aware of a complaint (the “Complaint”) filed by William Reny (“Plaintiff”), a greater than five percent (5%)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use of the ELOC Agreement will depend on market conditions, our trading price and volume, and our liquidity needs, and could be dilutive to existing stockholders and place downward pressure on our stock price. Only 5,524,624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Convertible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many of which are beyond our control. Investors should carefully consider the risks described below and elsewhere in this Annual Report on Form 10-K and those that are described from time to time in our other filings with the SEC. If any of the events or developments described herein or therein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Business and Industry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Company is vulnerable to the potential difficulties associated with the increase in the complexity of our business</w:t>
      </w:r>
      <w:r>
        <w:rPr>
          <w:rFonts w:ascii="Times New Roman;Times;Serif" w:hAnsi="Times New Roman;Times;Serif"/>
          <w:b w:val="false"/>
          <w:i w:val="false"/>
          <w:caps w:val="false"/>
          <w:smallCaps w:val="false"/>
          <w:sz w:val="20"/>
        </w:rPr>
        <w:t>. We have expanded operations and customer offerings over the last several years both organically and through acquisitions. This has caused increased complexities in the business. We believe our future success depends in part on our ability to manage our growth and increased complexities of our business. The following factors could present difficulties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Associated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substantial risk. The occurrence of one or more of the events or circumstances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and may identify additional material weaknesses in the future or fail to maintain an effective system of internal control over financial reporting.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our ability to grow the Company’s business depends on retaining and expanding the Company’s customer base.</w:t>
            </w:r>
          </w:p>
        </w:tc>
      </w:tr>
    </w:tbl>
    <w:p>
      <w:pPr>
        <w:pStyle w:val="TextBody"/>
        <w:bidi w:val="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68"/>
        <w:gridCol w:w="200"/>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maintain and enhance the Company’s brand and reputation.</w:t>
            </w:r>
          </w:p>
        </w:tc>
      </w:tr>
    </w:tbl>
    <w:p>
      <w:pPr>
        <w:pStyle w:val="TextBody"/>
        <w:bidi w:val="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68"/>
        <w:gridCol w:w="200"/>
        <w:gridCol w:w="38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incidents or real or perceived errors, failures or bugs in the Company’s systems or website could impair its business.</w:t>
            </w:r>
          </w:p>
        </w:tc>
      </w:tr>
    </w:tbl>
    <w:p>
      <w:pPr>
        <w:pStyle w:val="TextBody"/>
        <w:bidi w:val="0"/>
        <w:jc w:val="left"/>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68"/>
        <w:gridCol w:w="200"/>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has limited experience managing a public company.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and may identify additional material weaknesses in the future or fail to maintain an effective system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Accounting Personnel and Financial Reporting Controls. </w:t>
      </w:r>
      <w:r>
        <w:rPr>
          <w:rFonts w:ascii="Times New Roman;Times;Serif" w:hAnsi="Times New Roman;Times;Serif"/>
          <w:b w:val="false"/>
          <w:i w:val="false"/>
          <w:caps w:val="false"/>
          <w:smallCaps w:val="false"/>
          <w:sz w:val="20"/>
        </w:rPr>
        <w:t>Management determined that the Company does not 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Annual Report to reflect these reclassifications as immaterial reclassifications to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Fair Value Calculation Controls. </w:t>
      </w:r>
      <w:r>
        <w:rPr>
          <w:rFonts w:ascii="Times New Roman;Times;Serif" w:hAnsi="Times New Roman;Times;Serif"/>
          <w:b w:val="false"/>
          <w:i w:val="false"/>
          <w:caps w:val="false"/>
          <w:smallCaps w:val="false"/>
          <w:sz w:val="20"/>
        </w:rPr>
        <w:t>In addition, management identified a material weakness in the design of internal controls related to the review of the fair value calculation of SAFE notes performed by a third-party valuation specialist for the year ended December 31, 2024. The controls lacked the precision needed to detect inappropriate inputs that could materially impact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independent registered public accounting firm’s report contains an explanatory paragraph that expresses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Annual Report on Form 10-K do not include any adjustments that might result from our inability to consummate this offering or our inability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rapid growth makes it difficult to evaluate our future financial position and increases the risk that we will not continue to grow at or near historical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the growth of our business in new use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most of our revenue has been derived from sales relating to research and development activities, including proof of concept demonstrations. In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quarter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our future revenue and results of operations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00"/>
        <w:gridCol w:w="6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customers’ commitments to or preferences for their existing vendors</w:t>
            </w:r>
          </w:p>
        </w:tc>
      </w:tr>
    </w:tbl>
    <w:p>
      <w:pPr>
        <w:pStyle w:val="TextBody"/>
        <w:bidi w:val="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68"/>
        <w:gridCol w:w="200"/>
        <w:gridCol w:w="29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perceived switching costs</w:t>
            </w:r>
          </w:p>
        </w:tc>
      </w:tr>
    </w:tbl>
    <w:p>
      <w:pPr>
        <w:pStyle w:val="TextBody"/>
        <w:bidi w:val="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68"/>
        <w:gridCol w:w="20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customers’ inexperience with or reluctance to adopt our solutions in their physical operations;</w:t>
            </w:r>
          </w:p>
        </w:tc>
      </w:tr>
    </w:tbl>
    <w:p>
      <w:pPr>
        <w:pStyle w:val="TextBody"/>
        <w:bidi w:val="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68"/>
        <w:gridCol w:w="200"/>
        <w:gridCol w:w="6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help potential customers successfully deploy and use our solutions;</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develop or expand relationships with existing partners or to attract new partners;</w:t>
            </w:r>
          </w:p>
        </w:tc>
      </w:tr>
    </w:tbl>
    <w:p>
      <w:pPr>
        <w:pStyle w:val="TextBody"/>
        <w:bidi w:val="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68"/>
        <w:gridCol w:w="200"/>
        <w:gridCol w:w="32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expand into new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expand, retain, and motivate our engineering and research and development, sales and marketing, and other personnel;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new, or the amendment of existing, laws, rules, or regulations that negatively impact the utility of, or that require difficult-to-implement changes to, our solutions; and</w:t>
            </w:r>
          </w:p>
        </w:tc>
      </w:tr>
    </w:tbl>
    <w:p>
      <w:pPr>
        <w:pStyle w:val="TextBody"/>
        <w:bidi w:val="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68"/>
        <w:gridCol w:w="200"/>
        <w:gridCol w:w="2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macroeconomic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efforts to attract new customers are not successful, our business, financial condition, and results of operations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and expand our relationships with existing customers, our financial position and results of operations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estimates of market opportunity and forecasts of market growth included in this Annual Report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The estimates and forecasts in this Annual Report relating to the size and expected growth of our target markets may prove to be inaccurate. Even if the markets in which we compete meet the size estimates and growth forecasted in this Annual Report, we may not successfully penetrate these markets and our business could fail to grow at a similar pace,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execute our strategic initiatives or meet our long-term financial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limited number of joint design manufacturers and suppliers of manufacturing services and critical components within our supply chain for our IoT devices may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a key supplier in Israel and the possibility of having to switch suppliers may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pipeline is immature, and as such, revenue forecasts and projections are likely to be unstable through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length of our sales cycle can be unpredictable, particularly with respect to sales to large customers, and our sales efforts may require considerable time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adapt and respond effectively to rapidly changing technology, evolving industry standards, changing regulations, or changing customer needs, requirements or preferences, our Dot Cloud SaaS platform may become less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intense and increasing competition, and we may not be able to compete effectively, which could reduce demand for our solution and adversely affect our business, revenue growth, and market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grow our business is dependent in part on strategic relationships we develop and maintain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subscription or pricing models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pStyle w:val="TextBody"/>
        <w:bidi w:val="0"/>
        <w:spacing w:before="0" w:after="0"/>
        <w:ind w:left="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68"/>
        <w:gridCol w:w="200"/>
        <w:gridCol w:w="5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particularly large customers;</w:t>
            </w:r>
          </w:p>
        </w:tc>
      </w:tr>
    </w:tbl>
    <w:p>
      <w:pPr>
        <w:pStyle w:val="TextBody"/>
        <w:bidi w:val="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68"/>
        <w:gridCol w:w="200"/>
        <w:gridCol w:w="6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expand our relationships with existing customers;</w:t>
            </w:r>
          </w:p>
        </w:tc>
      </w:tr>
    </w:tbl>
    <w:p>
      <w:pPr>
        <w:pStyle w:val="TextBody"/>
        <w:bidi w:val="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68"/>
        <w:gridCol w:w="200"/>
        <w:gridCol w:w="66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 domestically and internationally;</w:t>
            </w:r>
          </w:p>
        </w:tc>
      </w:tr>
    </w:tbl>
    <w:p>
      <w:pPr>
        <w:pStyle w:val="TextBody"/>
        <w:bidi w:val="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00"/>
        <w:gridCol w:w="6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gain new channel partners and retain existing channel partners;</w:t>
            </w:r>
          </w:p>
        </w:tc>
      </w:tr>
    </w:tbl>
    <w:p>
      <w:pPr>
        <w:pStyle w:val="TextBody"/>
        <w:bidi w:val="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00"/>
        <w:gridCol w:w="6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employees and other qualified personnel;</w:t>
            </w:r>
          </w:p>
        </w:tc>
      </w:tr>
    </w:tbl>
    <w:p>
      <w:pPr>
        <w:pStyle w:val="TextBody"/>
        <w:bidi w:val="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20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growth rate of the overall market that our solution addresses;</w:t>
            </w:r>
          </w:p>
        </w:tc>
      </w:tr>
    </w:tbl>
    <w:p>
      <w:pPr>
        <w:pStyle w:val="TextBody"/>
        <w:bidi w:val="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68"/>
        <w:gridCol w:w="200"/>
        <w:gridCol w:w="3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growth;</w:t>
            </w:r>
          </w:p>
        </w:tc>
      </w:tr>
    </w:tbl>
    <w:p>
      <w:pPr>
        <w:pStyle w:val="TextBody"/>
        <w:bidi w:val="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68"/>
        <w:gridCol w:w="200"/>
        <w:gridCol w:w="3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mix of our revenue;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expenses related to the maintenance and expansion of our business and operations, including continued investments in sales and marketing, research and development and general and administrative resources;</w:t>
            </w:r>
          </w:p>
        </w:tc>
      </w:tr>
    </w:tbl>
    <w:p>
      <w:pPr>
        <w:pStyle w:val="TextBody"/>
        <w:bidi w:val="0"/>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68"/>
        <w:gridCol w:w="200"/>
        <w:gridCol w:w="54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outages or performance degradation of our cloud service;</w:t>
            </w:r>
          </w:p>
        </w:tc>
      </w:tr>
    </w:tbl>
    <w:p>
      <w:pPr>
        <w:pStyle w:val="TextBody"/>
        <w:bidi w:val="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68"/>
        <w:gridCol w:w="20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 or cybersecurity breaches;</w:t>
            </w:r>
          </w:p>
        </w:tc>
      </w:tr>
    </w:tbl>
    <w:p>
      <w:pPr>
        <w:pStyle w:val="TextBody"/>
        <w:bidi w:val="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68"/>
        <w:gridCol w:w="200"/>
        <w:gridCol w:w="42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w:t>
            </w:r>
          </w:p>
        </w:tc>
      </w:tr>
    </w:tbl>
    <w:p>
      <w:pPr>
        <w:pStyle w:val="TextBody"/>
        <w:bidi w:val="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68"/>
        <w:gridCol w:w="200"/>
        <w:gridCol w:w="82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 and regulations affecting our and our customers’ businesses or product requirements;</w:t>
            </w:r>
          </w:p>
        </w:tc>
      </w:tr>
    </w:tbl>
    <w:p>
      <w:pPr>
        <w:pStyle w:val="TextBody"/>
        <w:bidi w:val="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68"/>
        <w:gridCol w:w="200"/>
        <w:gridCol w:w="9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or decreases in the number of subscriptions or pricing changes upon any renewals of customer agreements;</w:t>
            </w:r>
          </w:p>
        </w:tc>
      </w:tr>
    </w:tbl>
    <w:p>
      <w:pPr>
        <w:pStyle w:val="TextBody"/>
        <w:bidi w:val="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68"/>
        <w:gridCol w:w="200"/>
        <w:gridCol w:w="4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those of our competitors;</w:t>
            </w:r>
          </w:p>
        </w:tc>
      </w:tr>
    </w:tbl>
    <w:p>
      <w:pPr>
        <w:pStyle w:val="TextBody"/>
        <w:bidi w:val="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68"/>
        <w:gridCol w:w="200"/>
        <w:gridCol w:w="5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budgeting cycles and purchasing practices of customers;</w:t>
            </w:r>
          </w:p>
        </w:tc>
      </w:tr>
    </w:tbl>
    <w:p>
      <w:pPr>
        <w:pStyle w:val="TextBody"/>
        <w:bidi w:val="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68"/>
        <w:gridCol w:w="200"/>
        <w:gridCol w:w="71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by potential customers to purchase alternative solutions from other vendors;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 or credit difficulties confronting our customers, which could adversely affect their ability to purchase or pay for a subscription to use our solution;</w:t>
            </w:r>
          </w:p>
        </w:tc>
      </w:tr>
    </w:tbl>
    <w:p>
      <w:pPr>
        <w:pStyle w:val="TextBody"/>
        <w:bidi w:val="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future litigation or other disputes;</w:t>
            </w:r>
          </w:p>
        </w:tc>
      </w:tr>
    </w:tbl>
    <w:p>
      <w:pPr>
        <w:pStyle w:val="TextBody"/>
        <w:bidi w:val="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68"/>
        <w:gridCol w:w="200"/>
        <w:gridCol w:w="6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effective tax rate, including impacts caused by any reorganization in our corporate tax structure and any new legislation or regulatory developments;</w:t>
            </w:r>
          </w:p>
        </w:tc>
      </w:tr>
    </w:tbl>
    <w:p>
      <w:pPr>
        <w:pStyle w:val="TextBody"/>
        <w:bidi w:val="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68"/>
        <w:gridCol w:w="200"/>
        <w:gridCol w:w="42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stock-based compensation expense;</w:t>
            </w:r>
          </w:p>
        </w:tc>
      </w:tr>
    </w:tbl>
    <w:p>
      <w:pPr>
        <w:pStyle w:val="TextBody"/>
        <w:bidi w:val="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(such as tariffs and duties) and import or export licensing requirements;</w:t>
            </w:r>
          </w:p>
        </w:tc>
      </w:tr>
    </w:tbl>
    <w:p>
      <w:pPr>
        <w:pStyle w:val="TextBody"/>
        <w:bidi w:val="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68"/>
        <w:gridCol w:w="200"/>
        <w:gridCol w:w="40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timing and success in introducing new features and Applications to the market, including integrations of our solution with additional third-party software and devices;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of our competitors or any other change in the competitive dynamics of our industry, including consolidation among competitors, customers or strategic partners;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manage and realize the anticipated benefits of any future acquisitions of businesses, solutions, or technologies;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expenses related to the development or acquisition of businesses, solutions, or technologies and potential future charges for impairment of goodwill from acquired companies; or</w:t>
            </w:r>
          </w:p>
        </w:tc>
      </w:tr>
    </w:tbl>
    <w:p>
      <w:pPr>
        <w:pStyle w:val="TextBody"/>
        <w:bidi w:val="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68"/>
        <w:gridCol w:w="200"/>
        <w:gridCol w:w="41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 factors described in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achieve and sustain a level of liquidity sufficient to support our operations and fulfill our obligations,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exposed to risks related to third-party financing of our customers’ subscriptions to our Dot Cloud SaaS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and expand our business if we are not able to hire, retain and manage qualified personnel, and in particular, our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and enhance our brand, our business,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maintain our company culture as we grow, our success and our business and competitive position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 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Challenges in implementation or incorrect use of, or our customers’ failure to update, our solution could result in customer dissatisfaction and negatively affect our business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fund our business and support our growth, and any inability to generate or obtain such capital may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generate sufficient cash to service our indebtedness, and the terms of our new senior secured convertible facility could materially and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warranty and recall claims that may increase the costs of doing business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currency exchange rates fluctuate substantially in the future, the results of our operations, which are reported in U.S. dollars,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Managing the supply of our devices is complex. Insufficient supply and inventory may result in lost sales opportunities or delayed revenue, while excess inventory may harm our gross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and adversely impacted by U.S. and global market and economic conditions adverse to industries that depend on physical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have serious adverse consequences on our future revenue and financial condition and result in losses that may not be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operations are international in scope, and we plan further geographic expansion, creating a variety of operational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international business and operations involve a variety of risks, including:</w:t>
      </w:r>
    </w:p>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68"/>
        <w:gridCol w:w="200"/>
        <w:gridCol w:w="9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slower than anticipated availability and adoption of cloud and hybrid infrastructures by international businesses;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tc>
      </w:tr>
    </w:tbl>
    <w:p>
      <w:pPr>
        <w:pStyle w:val="TextBody"/>
        <w:bidi w:val="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200"/>
        <w:gridCol w:w="5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adapt and localize our solution for specific countries;</w:t>
            </w:r>
          </w:p>
        </w:tc>
      </w:tr>
    </w:tbl>
    <w:p>
      <w:pPr>
        <w:pStyle w:val="TextBody"/>
        <w:bidi w:val="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68"/>
        <w:gridCol w:w="200"/>
        <w:gridCol w:w="9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difficulty collecting accounts receivable, longer sales and payment cycles, and different pricing environments;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evolving, potentially inconsistent and often more stringent regulations relating to privacy, data protection and data security and the unauthorized use of, or access to, commercial, biometric, and/or personal information, particularly in Europe;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labor regulations, including with respect to wage and hour laws, that make it harder to do business in certain regions such as Europe;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a business in new markets with diverse cultures, languages, customs, legal systems, alternative dispute systems, and regulatory systems;</w:t>
            </w:r>
          </w:p>
        </w:tc>
      </w:tr>
    </w:tbl>
    <w:p>
      <w:pPr>
        <w:pStyle w:val="TextBody"/>
        <w:bidi w:val="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68"/>
        <w:gridCol w:w="200"/>
        <w:gridCol w:w="90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travel, real estate, infrastructure, legal and compliance costs associated with international operations;</w:t>
            </w:r>
          </w:p>
        </w:tc>
      </w:tr>
    </w:tbl>
    <w:p>
      <w:pPr>
        <w:pStyle w:val="TextBody"/>
        <w:bidi w:val="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68"/>
        <w:gridCol w:w="20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financial accounting and reporting burdens and complexities;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the resulting effect on our revenue and expenses, and the cost and risk of entering into hedging transactions if we chose to do so in the future;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reinvest earnings from operations in one country to fund the capital needs of our operations in other countries;</w:t>
            </w:r>
          </w:p>
        </w:tc>
      </w:tr>
    </w:tbl>
    <w:p>
      <w:pPr>
        <w:pStyle w:val="TextBody"/>
        <w:bidi w:val="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68"/>
        <w:gridCol w:w="200"/>
        <w:gridCol w:w="34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different sources of competition;</w:t>
            </w:r>
          </w:p>
        </w:tc>
      </w:tr>
    </w:tbl>
    <w:p>
      <w:pPr>
        <w:pStyle w:val="TextBody"/>
        <w:bidi w:val="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68"/>
        <w:gridCol w:w="20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business practices favoring local competitors or general market preferences for local vendors;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or insufficient intellectual property protection or difficulties obtaining, maintaining, protecting, or enforcing our intellectual property rights, including our trademarks and patents, or obtaining necessary intellectual property licenses from third parties;</w:t>
            </w:r>
          </w:p>
        </w:tc>
      </w:tr>
    </w:tbl>
    <w:p>
      <w:pPr>
        <w:pStyle w:val="TextBody"/>
        <w:bidi w:val="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68"/>
        <w:gridCol w:w="200"/>
        <w:gridCol w:w="3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or terrorist activities;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liabilities under anti-corruption and anti-money laundering laws, including the U.S. Foreign Corrupt Practices Act (FCPA), U.S. domestic bribery laws, the UK Bribery Act, and similar laws and regulations in other jurisdictions;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burdens of complying with U.S. and non-U.S. export control laws and regulations, including Export Administration Regulations (EAR);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burdens of complying with laws and regulations related to taxation; and regulations, adverse tax burdens, and foreign exchange controls that could make it difficult to repatriate earnings and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invest substantial time and resources to further expand our international operations and are unable to do so successfully and in a timely manner, our business and results of operations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wholly-owned subsidiary in Puerto Rico has been granted certain incentives under Act 60 (described below), and the validity of these incentives are conditioned on our continuous compliance with the terms and conditions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or expect to enter into, various arrangements with our subsidiary in Puerto Rico regarding the intercompany provision of services. Applicable taxing authorities could challenge the prices for these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Regulatory or Compliance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applicable tax laws, regulations or administrative interpretations thereof may materially adversely affect our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anti-corruption and anti-money laundering laws, including the FCPA and similar laws associated with our activities outside of the United States, could subject us to penalties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federal government or independent standards organizations may implement significant regulations or standards that could adversely affect our ability to produce or market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and regulations applicable to our business could subject us to fines and penalties and could also cause us to lose customers or otherwise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68"/>
        <w:gridCol w:w="200"/>
        <w:gridCol w:w="42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investigations, enforcement actions, and sanctions;</w:t>
            </w:r>
          </w:p>
        </w:tc>
      </w:tr>
    </w:tbl>
    <w:p>
      <w:pPr>
        <w:pStyle w:val="TextBody"/>
        <w:bidi w:val="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68"/>
        <w:gridCol w:w="20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changes to our solutions and services;</w:t>
            </w:r>
          </w:p>
        </w:tc>
      </w:tr>
    </w:tbl>
    <w:p>
      <w:pPr>
        <w:pStyle w:val="TextBody"/>
        <w:bidi w:val="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68"/>
        <w:gridCol w:w="200"/>
        <w:gridCol w:w="3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profits, fines, and damages;</w:t>
            </w:r>
          </w:p>
        </w:tc>
      </w:tr>
    </w:tbl>
    <w:p>
      <w:pPr>
        <w:pStyle w:val="TextBody"/>
        <w:bidi w:val="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68"/>
        <w:gridCol w:w="200"/>
        <w:gridCol w:w="3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and criminal penalties or injunctions;</w:t>
            </w:r>
          </w:p>
        </w:tc>
      </w:tr>
    </w:tbl>
    <w:p>
      <w:pPr>
        <w:pStyle w:val="TextBody"/>
        <w:bidi w:val="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68"/>
        <w:gridCol w:w="200"/>
        <w:gridCol w:w="47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for damages by our customers or channel partners;</w:t>
            </w:r>
          </w:p>
        </w:tc>
      </w:tr>
    </w:tbl>
    <w:p>
      <w:pPr>
        <w:pStyle w:val="TextBody"/>
        <w:bidi w:val="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20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contracts;</w:t>
            </w:r>
          </w:p>
        </w:tc>
      </w:tr>
    </w:tbl>
    <w:p>
      <w:pPr>
        <w:pStyle w:val="TextBody"/>
        <w:bidi w:val="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68"/>
        <w:gridCol w:w="200"/>
        <w:gridCol w:w="3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intellectual property rights; and</w:t>
            </w:r>
          </w:p>
        </w:tc>
      </w:tr>
    </w:tbl>
    <w:p>
      <w:pPr>
        <w:pStyle w:val="TextBody"/>
        <w:bidi w:val="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or permanent debarment from sales to government organizations.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requirements of applicable environmental legislation and regulation could have a material adverse effect on our revenue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laws, regulations, or contractual provisions applicable to our business could cause us to lose government customers or our ability to contract with the U.S. and other governments.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conflict minerals may cause us to incur additional expenses and could limit the supply and increase the costs of certain metals used in the manufacturing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changes in the use of artificial intelligence are unpredictable and therefore we are not able to accurately predict how potential regulatory changes in artificial intelligence space may affect our current and future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fines, penalties, or other costs, either directly or vicariously, if any of our partners, resellers, contractors, vendors or other third parties fail to adhere to their compliance obligations under our policies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Cybersecurity and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or real or perceived errors, failures or bugs in our systems or our website could impair our operations, result in loss of personal customer information, damage our reputation, and brand, and harm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Abuse or misuse of our internal platform controls and system tools could cause significant harm to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or performance problems with either our technology and infrastructure or our data center hosting facilities could,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the destruction or disruption of any of our critical business operations, controls, or procedures or information technology systems;</w:t>
            </w:r>
          </w:p>
        </w:tc>
      </w:tr>
    </w:tbl>
    <w:p>
      <w:pPr>
        <w:pStyle w:val="TextBody"/>
        <w:bidi w:val="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00"/>
        <w:gridCol w:w="5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severely affect our ability to conduct normal business operations;</w:t>
            </w:r>
          </w:p>
        </w:tc>
      </w:tr>
    </w:tbl>
    <w:p>
      <w:pPr>
        <w:pStyle w:val="TextBody"/>
        <w:bidi w:val="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68"/>
        <w:gridCol w:w="200"/>
        <w:gridCol w:w="6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material weakness in our internal control over financial reporting;</w:t>
            </w:r>
          </w:p>
        </w:tc>
      </w:tr>
    </w:tbl>
    <w:p>
      <w:pPr>
        <w:pStyle w:val="TextBody"/>
        <w:bidi w:val="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68"/>
        <w:gridCol w:w="200"/>
        <w:gridCol w:w="43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our customers to terminate their subscriptions;</w:t>
            </w:r>
          </w:p>
        </w:tc>
      </w:tr>
    </w:tbl>
    <w:p>
      <w:pPr>
        <w:pStyle w:val="TextBody"/>
        <w:bidi w:val="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200"/>
        <w:gridCol w:w="4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our issuing credits or paying penalties or fines;</w:t>
            </w:r>
          </w:p>
        </w:tc>
      </w:tr>
    </w:tbl>
    <w:p>
      <w:pPr>
        <w:pStyle w:val="TextBody"/>
        <w:bidi w:val="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68"/>
        <w:gridCol w:w="200"/>
        <w:gridCol w:w="2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our brand and reputation;</w:t>
            </w:r>
          </w:p>
        </w:tc>
      </w:tr>
    </w:tbl>
    <w:p>
      <w:pPr>
        <w:pStyle w:val="TextBody"/>
        <w:bidi w:val="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68"/>
        <w:gridCol w:w="200"/>
        <w:gridCol w:w="6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our renewal rates or our ability to attract new customers; or</w:t>
            </w:r>
          </w:p>
        </w:tc>
      </w:tr>
    </w:tbl>
    <w:p>
      <w:pPr>
        <w:pStyle w:val="TextBody"/>
        <w:bidi w:val="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68"/>
        <w:gridCol w:w="200"/>
        <w:gridCol w:w="4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our solution to be perceived as not being secure.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prevent or address the misappropriation of our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third-party software for certain essential financial and operational services, and a failure or disruption in these services could materially and adversely affect our ability to manage our business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our proprietary technology and intellectual property rights could substantially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our patents or patent applications will be enforceable or otherwise upheld as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Confidentiality agreements with employees and others may not adequately prevent disclosure of trade secrets and other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intellectual property disputes, which are costly and may subject us to significant liability and increased costs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 party intellectual property infringement claims associated with our solution. To the extent that any claim arises as a result of third party technology we use in our solutions, we may be unable to recover from the appropriate third party any expenses or other liabilities that we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exposure to risks associated with the use of intellectual property may be increased as a result of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Issues in the use of artificial intelligence (“AI”) in our solution may result in reputational harm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negatively affect our ability to sell subscriptions to our Dot Cloud SaaS platform and subject us to possible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misappropriation, violation, and other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and trading volume of our Common Stock and Public Warrants may be highly volatile and could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“Risk Factors” or presented elsewhere in this Annual Report, and,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68"/>
        <w:gridCol w:w="200"/>
        <w:gridCol w:w="8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performance, quarterly or annual earnings relative to similar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or news stories about the us, our competitors or our industry, or positive or negative recommendations or withdrawal of research coverage by securities analysts;</w:t>
            </w:r>
          </w:p>
        </w:tc>
      </w:tr>
    </w:tbl>
    <w:p>
      <w:pPr>
        <w:pStyle w:val="TextBody"/>
        <w:bidi w:val="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68"/>
        <w:gridCol w:w="200"/>
        <w:gridCol w:w="7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press-releases, other public announcements and filings with the SEC;</w:t>
            </w:r>
          </w:p>
        </w:tc>
      </w:tr>
    </w:tbl>
    <w:p>
      <w:pPr>
        <w:pStyle w:val="TextBody"/>
        <w:bidi w:val="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68"/>
        <w:gridCol w:w="200"/>
        <w:gridCol w:w="82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acquisitions, business plans or commercial relationships;</w:t>
            </w:r>
          </w:p>
        </w:tc>
      </w:tr>
    </w:tbl>
    <w:p>
      <w:pPr>
        <w:pStyle w:val="TextBody"/>
        <w:bidi w:val="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68"/>
        <w:gridCol w:w="200"/>
        <w:gridCol w:w="4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the Board or senior management;</w:t>
            </w:r>
          </w:p>
        </w:tc>
      </w:tr>
    </w:tbl>
    <w:p>
      <w:pPr>
        <w:pStyle w:val="TextBody"/>
        <w:bidi w:val="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68"/>
        <w:gridCol w:w="200"/>
        <w:gridCol w:w="7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the Company, our directors, executive officers, principal shareholders;</w:t>
            </w:r>
          </w:p>
        </w:tc>
      </w:tr>
    </w:tbl>
    <w:p>
      <w:pPr>
        <w:pStyle w:val="TextBody"/>
        <w:bidi w:val="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 to any indebtedness we may incur or securities we may issue in the future;</w:t>
            </w:r>
          </w:p>
        </w:tc>
      </w:tr>
    </w:tbl>
    <w:p>
      <w:pPr>
        <w:pStyle w:val="TextBody"/>
        <w:bidi w:val="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68"/>
        <w:gridCol w:w="200"/>
        <w:gridCol w:w="6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hedging and other derivative transactions in our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capital market risks related to changes in interest rates, realized investment losses, credit spreads, equity prices, foreign exchange rates and performance of insurance-linked investments;</w:t>
            </w:r>
          </w:p>
        </w:tc>
      </w:tr>
    </w:tbl>
    <w:p>
      <w:pPr>
        <w:pStyle w:val="TextBody"/>
        <w:bidi w:val="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68"/>
        <w:gridCol w:w="200"/>
        <w:gridCol w:w="57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creditworthiness, financial condition, performance and prospects;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and whether dividends on our Common Stock have been, and are likely to be, declared and paid from time to time;</w:t>
            </w:r>
          </w:p>
        </w:tc>
      </w:tr>
    </w:tbl>
    <w:p>
      <w:pPr>
        <w:pStyle w:val="TextBody"/>
        <w:bidi w:val="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68"/>
        <w:gridCol w:w="20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of the investment opportunity associated with our Common Stock relative to other investment alternatives;</w:t>
            </w:r>
          </w:p>
        </w:tc>
      </w:tr>
    </w:tbl>
    <w:p>
      <w:pPr>
        <w:pStyle w:val="TextBody"/>
        <w:bidi w:val="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68"/>
        <w:gridCol w:w="200"/>
        <w:gridCol w:w="28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tc>
      </w:tr>
    </w:tbl>
    <w:p>
      <w:pPr>
        <w:pStyle w:val="TextBody"/>
        <w:bidi w:val="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68"/>
        <w:gridCol w:w="200"/>
        <w:gridCol w:w="51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or trends in our industry, geographies or customers;</w:t>
            </w:r>
          </w:p>
        </w:tc>
      </w:tr>
    </w:tbl>
    <w:p>
      <w:pPr>
        <w:pStyle w:val="TextBody"/>
        <w:bidi w:val="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68"/>
        <w:gridCol w:w="200"/>
        <w:gridCol w:w="71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 and</w:t>
            </w:r>
          </w:p>
        </w:tc>
      </w:tr>
    </w:tbl>
    <w:p>
      <w:pPr>
        <w:pStyle w:val="TextBody"/>
        <w:bidi w:val="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threatened or actual litigation or government investigations.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subject to additional laws, regulations, and stock exchange listing standards, which impose additional costs on us and may strain our resources and divert our management’s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Annual Report and in our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meet the continued listing requirements of Nasdaq could result in a delisting of our Common Stock, which could have a material adverse effect on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and other operating metrics may fluctuate from quarter to quarter, which makes these metrics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68"/>
        <w:gridCol w:w="200"/>
        <w:gridCol w:w="4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attract new customers;</w:t>
            </w:r>
          </w:p>
        </w:tc>
      </w:tr>
    </w:tbl>
    <w:p>
      <w:pPr>
        <w:pStyle w:val="TextBody"/>
        <w:bidi w:val="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68"/>
        <w:gridCol w:w="200"/>
        <w:gridCol w:w="58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and upgrading of our technology platform;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product, service, feature, and content introductions by us or our competitors or any other change in the competitive landscape of our market;</w:t>
            </w:r>
          </w:p>
        </w:tc>
      </w:tr>
    </w:tbl>
    <w:p>
      <w:pPr>
        <w:pStyle w:val="TextBody"/>
        <w:bidi w:val="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68"/>
        <w:gridCol w:w="200"/>
        <w:gridCol w:w="4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pressure as a result of competition or otherwise;</w:t>
            </w:r>
          </w:p>
        </w:tc>
      </w:tr>
    </w:tbl>
    <w:p>
      <w:pPr>
        <w:pStyle w:val="TextBody"/>
        <w:bidi w:val="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68"/>
        <w:gridCol w:w="200"/>
        <w:gridCol w:w="3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in our supply chain;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errors in our forecasting of the demand for our products and services, which could lead to lower revenue or increased costs, or both;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marketing, sales, and other operating expenses that we may incur to grow and expand our operations and to remain competitive;</w:t>
            </w:r>
          </w:p>
        </w:tc>
      </w:tr>
    </w:tbl>
    <w:p>
      <w:pPr>
        <w:pStyle w:val="TextBody"/>
        <w:bidi w:val="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68"/>
        <w:gridCol w:w="200"/>
        <w:gridCol w:w="40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expansion into international markets;</w:t>
            </w:r>
          </w:p>
        </w:tc>
      </w:tr>
    </w:tbl>
    <w:p>
      <w:pPr>
        <w:pStyle w:val="TextBody"/>
        <w:bidi w:val="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68"/>
        <w:gridCol w:w="200"/>
        <w:gridCol w:w="44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diversification and growth of our revenue sources;</w:t>
            </w:r>
          </w:p>
        </w:tc>
      </w:tr>
    </w:tbl>
    <w:p>
      <w:pPr>
        <w:pStyle w:val="TextBody"/>
        <w:bidi w:val="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200"/>
        <w:gridCol w:w="5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gross margins and operating margins;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constraints on the availability of consumer financing or increased down payment requirements to finance purchases of our products;</w:t>
            </w:r>
          </w:p>
        </w:tc>
      </w:tr>
    </w:tbl>
    <w:p>
      <w:pPr>
        <w:pStyle w:val="TextBody"/>
        <w:bidi w:val="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68"/>
        <w:gridCol w:w="20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failures or breaches of security or privacy;</w:t>
            </w:r>
          </w:p>
        </w:tc>
      </w:tr>
    </w:tbl>
    <w:p>
      <w:pPr>
        <w:pStyle w:val="TextBody"/>
        <w:bidi w:val="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68"/>
        <w:gridCol w:w="20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 including content costs for past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legislative or regulatory environment, including with respect to insurance and consumer product regulations;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and changes in the proportion of our revenue and expenses denominated in foreign currencies;</w:t>
            </w:r>
          </w:p>
        </w:tc>
      </w:tr>
    </w:tbl>
    <w:p>
      <w:pPr>
        <w:pStyle w:val="TextBody"/>
        <w:bidi w:val="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68"/>
        <w:gridCol w:w="200"/>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bl>
    <w:p>
      <w:pPr>
        <w:pStyle w:val="TextBody"/>
        <w:bidi w:val="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68"/>
        <w:gridCol w:w="200"/>
        <w:gridCol w:w="71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 including lower consumer confidence, recessionary conditions, increased unemployment rates, or stagnant or declining wages.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of the factors above or the cumulative effect of some of the factors above may result in significant fluctuations in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Failure to establish and maintain effective internal controls in accordance with Section 404 of the Sarbanes-Oxley Act could have a material adverse effect on our business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advantage of the reduced disclosure requirements applicable to “emerging growth companies” may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provides that, so long as a company qualifies as an “emerging growth company,” it will,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exempt from the provisions of Section 404(b) of the Sarbanes-Oxley Act requiring that its independent registered public accounting firm provide an attestation report on the effectiveness of its internal control over financial reporting;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exempt from the “say on pay” and “say on golden parachute” advisory vote requirements of the Dodd-Frank Wall Street Reform and Consumer Protection Act (the “</w:t>
            </w:r>
            <w:r>
              <w:rPr>
                <w:rFonts w:ascii="Times New Roman;Times;Serif" w:hAnsi="Times New Roman;Times;Serif"/>
                <w:b w:val="false"/>
                <w:i/>
                <w:caps w:val="false"/>
                <w:smallCaps w:val="false"/>
                <w:sz w:val="20"/>
              </w:rPr>
              <w:t>Dodd-Frank Act</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exempt from certain disclosure requirements of the Dodd-Frank Act relating to compensation of its executive officers and be permitted to omit the detailed compensation discussion and analysis from proxy statements and reports filed under the Exchange Act;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raise capital in the future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forecasts of market growth and other projections included in this Annual Report may prove to be inaccurate, and even if the markets in which we compete achieve the forecasted growth, we cannot assure you that our business will grow at a similar rate,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forecasts and projections are subject to significant uncertainty and are based on assumptions and estimates that may not prove to be accurate. The forecasts in this Annual Report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Annual Report, we may not grow our business at a similar rate,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Organizations are frequently confronted with a broad range of cybersecurity threats, ranging from uncoordinated, individual attempts to gain unauthorized access to an organization’s information technology environment to sophisticated and targeted cyberattacks sponsored by foreign governments and criminal enterprises. The Company maintains general cybersecurity policies and procedures to assess, identify, and manage cyber threats, and has designated personnel to implement and maintain these policies and procedures, subject to oversight by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cybersecurity policies, standards, processes, and practices for assessing, identifying, and managing material risks from cybersecurity threats and responding to cybersecurity incidents are based on recognized frameworks established by industry standards. The Company has established and maintains incident response and recovery plans to address potential cybersecurity incidents. It has implemented a range of technical, physical, and administrative security controls to mitigate cybersecurity threats, including measures specifically focused on network security, data protection, and safeguarding information that, if compromised, could adversely affect the public interest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employees are also required to sign confidentiality agreements in an effort to, among other things, help to ensure cybersecurity. The Company has taken measures to better ensure that key employees are aware of data security threats (including cybersecurity threats), and Company security policies and procedures, as appropriate. Improper or illegitimate use of the Company’s information system resources or violation of the Company’s information security policies and procedures may result in disciplinary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third-party service providers for critical or key infrastructure and solutions across various Company operations. Cybersecurity incidents that impact third-party service providers have significantly increased in recent years and represent a continuing risk to the Company. The Company has sought to mitigate this risk through specific cybersecurity controls, designed to assess the business and security controls implemented by key information services to the Company. The management assess the Company’s cybersecurity threats and the measures implemented by the Company in an effort to mitigate and prevent cyberattacks.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 Form 10-K, the Company is not aware of any risks from cybersecurity threats that have materially affected or are reasonably likely to materially affect the Company, including its business strategy,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entered into a non-cancelable operating lease agreement for a facility located in Bethesda, Maryland. The lease commenced on July 1, 2024 and has a term of 63 months. The initial base rent is approximately $7,000 per month and increases annually by 3%. In addition to base rent, the Company is responsible for its proportionate share of expenses associated with the facility and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 non-cancelable operating lease agreement with an unrelated third party for a 16,000 square foot facility located in Puerto Rico. The lease commenced on February 1, 2025 on a month-to-month basis and converted to a long-term lease effective June 1, 2025 with an initial term of five years. The base rent is $7.00 per square foot, or approximately $9,333 per month, for the first two years, increasing to $7.50 per square foot in the third year and increasing by 3% annually thereafter. Under the terms of the lease, the Company is responsible for its own utilities and a proportionate share of operating expenses of the premises, not to exceed $3.25 per square foot. As of December 31, 2025, the Company had two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December 31, 2025, there were 29,273,321 shares of Common Stock issued and outstanding, adjusted for subsequent issuances disclosed in this Annual Report, held of record by 232 holders, and warrants to purchase an aggregate of 15,654,983 shares of Common Stock outstanding held of record by 4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Our Business and Industry” or included elsewhere in this Report. These risks and uncertainties could cause actual results to differ materially from those projected in forward-looking statements contained in this Annual Report on Form 10-K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Within Our Existing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Innovation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Overhead costs that are not directly attributable to a specific functional group are allocated based on relative usage. These costs include expenses related to warehouse lease and cloud hosting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primarily of interest incurred for our short-term bridge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extinguishment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assumed certain indebtedness of the SPAC in the principal amount of $1,400,000. A portion of this obligation, totaling $987,045, was subsequently repaid, and the Company recognized a gain on extinguishment of debt of $412,955. As a result of these transactions, the Company recognized a net loss on debt extinguishment of $5,728,295 upon the closing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Cost of Goods Sold, Gross Profit, and Gross Margin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cost of goods sold, gross profit, and gross margin for the years ended December 31, 2025 and 2024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1835"/>
        <w:gridCol w:w="90"/>
        <w:gridCol w:w="170"/>
        <w:gridCol w:w="1010"/>
        <w:gridCol w:w="245"/>
        <w:gridCol w:w="90"/>
        <w:gridCol w:w="170"/>
        <w:gridCol w:w="830"/>
        <w:gridCol w:w="245"/>
        <w:gridCol w:w="90"/>
        <w:gridCol w:w="170"/>
        <w:gridCol w:w="1010"/>
        <w:gridCol w:w="320"/>
        <w:gridCol w:w="90"/>
        <w:gridCol w:w="126"/>
        <w:gridCol w:w="1079"/>
        <w:gridCol w:w="36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5,804,369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172,661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5,631,708</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3,261.7</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3,133,139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43,634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3,089,505</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bottom w:val="single" w:sz="12" w:space="0" w:color="000000"/>
            </w:tcBorders>
            <w:tcMar>
              <w:bottom w:w="28" w:type="dxa"/>
            </w:tcMar>
            <w:vAlign w:val="center"/>
          </w:tcPr>
          <w:p>
            <w:pPr>
              <w:pStyle w:val="TableContents"/>
              <w:bidi w:val="0"/>
              <w:spacing w:before="0" w:after="283"/>
              <w:jc w:val="right"/>
              <w:rPr/>
            </w:pPr>
            <w:r>
              <w:rPr/>
              <w:t>7,080.5</w:t>
            </w:r>
          </w:p>
        </w:tc>
        <w:tc>
          <w:tcPr>
            <w:tcW w:w="365" w:type="dxa"/>
            <w:tcBorders/>
            <w:vAlign w:val="center"/>
          </w:tcPr>
          <w:p>
            <w:pPr>
              <w:pStyle w:val="TableContents"/>
              <w:bidi w:val="0"/>
              <w:spacing w:before="0" w:after="283"/>
              <w:jc w:val="left"/>
              <w:rPr/>
            </w:pPr>
            <w:r>
              <w:rPr/>
              <w:t>%</w:t>
            </w:r>
          </w:p>
        </w:tc>
      </w:tr>
      <w:tr>
        <w:trPr/>
        <w:tc>
          <w:tcPr>
            <w:tcW w:w="18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2,671,230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129,027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2,542,203</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pPr>
            <w:r>
              <w:rPr/>
              <w:t>1,970.3</w:t>
            </w:r>
          </w:p>
        </w:tc>
        <w:tc>
          <w:tcPr>
            <w:tcW w:w="365" w:type="dxa"/>
            <w:tcBorders/>
            <w:shd w:fill="CCEEFF" w:val="clear"/>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Gross margin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46.0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74.7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(28.7</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79" w:type="dxa"/>
            <w:tcBorders>
              <w:bottom w:val="double" w:sz="10" w:space="0" w:color="000000"/>
            </w:tcBorders>
            <w:tcMar>
              <w:bottom w:w="28" w:type="dxa"/>
            </w:tcMar>
            <w:vAlign w:val="center"/>
          </w:tcPr>
          <w:p>
            <w:pPr>
              <w:pStyle w:val="TableContents"/>
              <w:bidi w:val="0"/>
              <w:spacing w:before="0" w:after="283"/>
              <w:jc w:val="right"/>
              <w:rPr/>
            </w:pPr>
            <w:r>
              <w:rPr/>
              <w:t>(38.4</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years ended December 31, 2025 and 2024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615"/>
        <w:gridCol w:w="90"/>
        <w:gridCol w:w="170"/>
        <w:gridCol w:w="1010"/>
        <w:gridCol w:w="90"/>
        <w:gridCol w:w="90"/>
        <w:gridCol w:w="170"/>
        <w:gridCol w:w="830"/>
        <w:gridCol w:w="90"/>
        <w:gridCol w:w="90"/>
        <w:gridCol w:w="174"/>
        <w:gridCol w:w="851"/>
        <w:gridCol w:w="90"/>
        <w:gridCol w:w="90"/>
        <w:gridCol w:w="184"/>
        <w:gridCol w:w="961"/>
        <w:gridCol w:w="29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1,446,203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850,261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1" w:type="dxa"/>
            <w:tcBorders/>
            <w:shd w:fill="CCEEFF" w:val="clear"/>
            <w:vAlign w:val="center"/>
          </w:tcPr>
          <w:p>
            <w:pPr>
              <w:pStyle w:val="TableContents"/>
              <w:bidi w:val="0"/>
              <w:spacing w:before="0" w:after="283"/>
              <w:jc w:val="right"/>
              <w:rPr/>
            </w:pPr>
            <w:r>
              <w:rPr/>
              <w:t>595,942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70.1</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years ended December 31, 2025 and 2024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970"/>
        <w:gridCol w:w="90"/>
        <w:gridCol w:w="170"/>
        <w:gridCol w:w="1010"/>
        <w:gridCol w:w="90"/>
        <w:gridCol w:w="90"/>
        <w:gridCol w:w="170"/>
        <w:gridCol w:w="1010"/>
        <w:gridCol w:w="90"/>
        <w:gridCol w:w="90"/>
        <w:gridCol w:w="174"/>
        <w:gridCol w:w="851"/>
        <w:gridCol w:w="90"/>
        <w:gridCol w:w="90"/>
        <w:gridCol w:w="184"/>
        <w:gridCol w:w="961"/>
        <w:gridCol w:w="290"/>
      </w:tblGrid>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9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3,671,865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2,721,981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949,884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years ended December 31, 2025 and 2024 are summarized as follows:</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2600"/>
        <w:gridCol w:w="90"/>
        <w:gridCol w:w="170"/>
        <w:gridCol w:w="1010"/>
        <w:gridCol w:w="90"/>
        <w:gridCol w:w="90"/>
        <w:gridCol w:w="170"/>
        <w:gridCol w:w="1010"/>
        <w:gridCol w:w="90"/>
        <w:gridCol w:w="90"/>
        <w:gridCol w:w="170"/>
        <w:gridCol w:w="1010"/>
        <w:gridCol w:w="90"/>
        <w:gridCol w:w="90"/>
        <w:gridCol w:w="151"/>
        <w:gridCol w:w="994"/>
        <w:gridCol w:w="290"/>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9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6,764,453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1,563,328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5,201,125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summarize the change in the fair value of SAFE agreements and the SAFE agreements activity for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0" w:type="dxa"/>
          <w:right w:w="0" w:type="dxa"/>
        </w:tblCellMar>
      </w:tblPr>
      <w:tblGrid>
        <w:gridCol w:w="3455"/>
        <w:gridCol w:w="90"/>
        <w:gridCol w:w="170"/>
        <w:gridCol w:w="1205"/>
        <w:gridCol w:w="125"/>
        <w:gridCol w:w="90"/>
        <w:gridCol w:w="170"/>
        <w:gridCol w:w="1205"/>
        <w:gridCol w:w="125"/>
        <w:gridCol w:w="90"/>
        <w:gridCol w:w="170"/>
        <w:gridCol w:w="1085"/>
        <w:gridCol w:w="125"/>
        <w:gridCol w:w="90"/>
        <w:gridCol w:w="193"/>
        <w:gridCol w:w="1012"/>
        <w:gridCol w:w="290"/>
      </w:tblGrid>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9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(17,368,415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(14,492,176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(2,876,239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8055" w:type="dxa"/>
        <w:jc w:val="left"/>
        <w:tblInd w:w="0" w:type="dxa"/>
        <w:tblLayout w:type="fixed"/>
        <w:tblCellMar>
          <w:top w:w="0" w:type="dxa"/>
          <w:left w:w="0" w:type="dxa"/>
          <w:bottom w:w="0" w:type="dxa"/>
          <w:right w:w="0" w:type="dxa"/>
        </w:tblCellMar>
      </w:tblPr>
      <w:tblGrid>
        <w:gridCol w:w="4940"/>
        <w:gridCol w:w="90"/>
        <w:gridCol w:w="170"/>
        <w:gridCol w:w="1205"/>
        <w:gridCol w:w="125"/>
        <w:gridCol w:w="90"/>
        <w:gridCol w:w="170"/>
        <w:gridCol w:w="1130"/>
        <w:gridCol w:w="135"/>
      </w:tblGrid>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w:t>
              <w:br/>
              <w:t>December 31,</w:t>
            </w:r>
          </w:p>
        </w:tc>
        <w:tc>
          <w:tcPr>
            <w:tcW w:w="13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agreements at fair value,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4,602,950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agreements issued for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4,239,500</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17,368,415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14,492,176</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notes converted into shares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(40,726,793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SAFE agreements at fair value,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23,334,626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the Financial Accounting Standards Board (“FASB”)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cash of $865,624 and $721,032, respectively, deficits in working capital of $1,730,095 and $1,215,988, respectively, and accumulative deficits of $61,451,334 and $24,733,263,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 for the periods presented:</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3920"/>
        <w:gridCol w:w="90"/>
        <w:gridCol w:w="170"/>
        <w:gridCol w:w="1205"/>
        <w:gridCol w:w="125"/>
        <w:gridCol w:w="90"/>
        <w:gridCol w:w="170"/>
        <w:gridCol w:w="1085"/>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w:t>
              <w:br/>
              <w:t>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(13,250,533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(3,290,008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(1,829,739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(834,220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15,224,864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4,239,500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$1.8 million for the year ended December 31, 2025, which consisted of capital expenditures for internal-use software development costs of $1.2 million and equipment purchases of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$0.8 million for the year ended December 31, 2024, which consisted of capital expenditures for internal-use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was $4.2 million for the year ended December 31, 2024, which consisted of proceeds from issuance of SAFE agreements for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estimated future obligations consist of leases and non-cancelable purchase commitments as of December 31, 2025. For additional discussion on our leases and other commitments, refer to Note 13 –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and Note 17 –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xml:space="preserve"> to our consolidated financial statements for the year ended December 31, 2025 included elsewhere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 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for 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convertible debt instruments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Warrants and Embedded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short-term loan are accounted for as a separate derivative liability. The warrants are measured at fair value at each reporting date, and changes in fair value are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was accounted for as a reverse recapitalization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Revenue is recognized when promised goods or services are transferred to customers in an amount that reflects the consideration to which we expect to be entitled in exchange for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revenue recognition through the following steps:</w:t>
      </w:r>
    </w:p>
    <w:p>
      <w:pPr>
        <w:pStyle w:val="TextBody"/>
        <w:bidi w:val="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0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bl>
    <w:p>
      <w:pPr>
        <w:pStyle w:val="TextBody"/>
        <w:bidi w:val="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68"/>
        <w:gridCol w:w="20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p>
      <w:pPr>
        <w:pStyle w:val="TextBody"/>
        <w:bidi w:val="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68"/>
        <w:gridCol w:w="200"/>
        <w:gridCol w:w="3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p>
      <w:pPr>
        <w:pStyle w:val="TextBody"/>
        <w:bidi w:val="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68"/>
        <w:gridCol w:w="200"/>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p>
      <w:pPr>
        <w:pStyle w:val="TextBody"/>
        <w:bidi w:val="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68"/>
        <w:gridCol w:w="20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we satisfy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recognizes revenue from the sale and delivery of products. As it is still in the early stages of developing its software-as-a-service (SaaS) product, most revenue is derived from product sales, including bridges, gateways, and labels.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Internal-Use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 40, </w:t>
      </w:r>
      <w:r>
        <w:rPr>
          <w:rFonts w:ascii="Times New Roman;Times;Serif" w:hAnsi="Times New Roman;Times;Serif"/>
          <w:b w:val="false"/>
          <w:i/>
          <w:caps w:val="false"/>
          <w:smallCaps w:val="false"/>
          <w:sz w:val="20"/>
        </w:rPr>
        <w:t>Intangibles Goodwill and Other Internal Use Software</w:t>
      </w:r>
      <w:r>
        <w:rPr>
          <w:rFonts w:ascii="Times New Roman;Times;Serif" w:hAnsi="Times New Roman;Times;Serif"/>
          <w:b w:val="false"/>
          <w:i w:val="false"/>
          <w:caps w:val="false"/>
          <w:smallCaps w:val="false"/>
          <w:sz w:val="20"/>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use software is amortized on a straight-line basis over its estimated useful life from the date the project is substantially complete and ready for its intended use. The estimated useful life is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and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the recently issued accounting pronouncements that apply in Note 2 of the consolidated financial statements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250"/>
        <w:gridCol w:w="90"/>
        <w:gridCol w:w="365"/>
      </w:tblGrid>
      <w:tr>
        <w:trPr/>
        <w:tc>
          <w:tcPr>
            <w:tcW w:w="7250"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sz w:val="20"/>
                </w:rPr>
                <w:t>Report of Independent Registered Public Accounting Firm (PCAOB ID 213)</w:t>
              </w:r>
            </w:hyperlink>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7250" w:type="dxa"/>
            <w:tcBorders/>
            <w:vAlign w:val="center"/>
          </w:tcPr>
          <w:p>
            <w:pPr>
              <w:pStyle w:val="TableContents"/>
              <w:bidi w:val="0"/>
              <w:spacing w:before="0" w:after="283"/>
              <w:jc w:val="left"/>
              <w:rPr/>
            </w:pPr>
            <w:hyperlink w:anchor="poa_002">
              <w:r>
                <w:rPr>
                  <w:rStyle w:val="InternetLink"/>
                </w:rPr>
                <w:t>Report of Independent Registered Public Accounting Firm (PCAOB ID 52)</w:t>
              </w:r>
            </w:hyperlink>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7250" w:type="dxa"/>
            <w:tcBorders/>
            <w:shd w:fill="CCEE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Consolidated balance sheets</w:t>
              </w:r>
            </w:hyperlink>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7250" w:type="dxa"/>
            <w:tcBorders/>
            <w:vAlign w:val="center"/>
          </w:tcPr>
          <w:p>
            <w:pPr>
              <w:pStyle w:val="TableContents"/>
              <w:bidi w:val="0"/>
              <w:spacing w:before="0" w:after="283"/>
              <w:jc w:val="left"/>
              <w:rPr/>
            </w:pPr>
            <w:hyperlink w:anchor="b_003">
              <w:r>
                <w:rPr>
                  <w:rStyle w:val="InternetLink"/>
                  <w:rFonts w:ascii="Times New Roman;Times;Serif" w:hAnsi="Times New Roman;Times;Serif"/>
                  <w:sz w:val="20"/>
                </w:rPr>
                <w:t>Consolidated statements of operations</w:t>
              </w:r>
            </w:hyperlink>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7250" w:type="dxa"/>
            <w:tcBorders/>
            <w:shd w:fill="CCEEFF" w:val="clear"/>
            <w:vAlign w:val="center"/>
          </w:tcPr>
          <w:p>
            <w:pPr>
              <w:pStyle w:val="TableContents"/>
              <w:bidi w:val="0"/>
              <w:spacing w:before="0" w:after="283"/>
              <w:jc w:val="left"/>
              <w:rPr/>
            </w:pPr>
            <w:hyperlink w:anchor="b_004">
              <w:r>
                <w:rPr>
                  <w:rStyle w:val="InternetLink"/>
                  <w:rFonts w:ascii="Times New Roman;Times;Serif" w:hAnsi="Times New Roman;Times;Serif"/>
                  <w:sz w:val="20"/>
                </w:rPr>
                <w:t>Consolidated statements of stockholders’ deficit</w:t>
              </w:r>
            </w:hyperlink>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7250" w:type="dxa"/>
            <w:tcBorders/>
            <w:vAlign w:val="center"/>
          </w:tcPr>
          <w:p>
            <w:pPr>
              <w:pStyle w:val="TableContents"/>
              <w:bidi w:val="0"/>
              <w:spacing w:before="0" w:after="283"/>
              <w:jc w:val="left"/>
              <w:rPr/>
            </w:pPr>
            <w:hyperlink w:anchor="b_005">
              <w:r>
                <w:rPr>
                  <w:rStyle w:val="InternetLink"/>
                  <w:rFonts w:ascii="Times New Roman;Times;Serif" w:hAnsi="Times New Roman;Times;Serif"/>
                  <w:sz w:val="20"/>
                </w:rPr>
                <w:t>Consolidated statements of cash flows</w:t>
              </w:r>
            </w:hyperlink>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r>
        <w:trPr/>
        <w:tc>
          <w:tcPr>
            <w:tcW w:w="7250" w:type="dxa"/>
            <w:tcBorders/>
            <w:shd w:fill="CCEEFF" w:val="clear"/>
            <w:vAlign w:val="center"/>
          </w:tcPr>
          <w:p>
            <w:pPr>
              <w:pStyle w:val="TableContents"/>
              <w:bidi w:val="0"/>
              <w:spacing w:before="0" w:after="283"/>
              <w:jc w:val="left"/>
              <w:rPr/>
            </w:pPr>
            <w:hyperlink w:anchor="b_006">
              <w:r>
                <w:rPr>
                  <w:rStyle w:val="InternetLink"/>
                  <w:rFonts w:ascii="Times New Roman;Times;Serif" w:hAnsi="Times New Roman;Times;Serif"/>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b_001"/>
      <w:bookmarkEnd w:id="1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 Riggs &amp; Ingram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Beach Gardens,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poa_002"/>
      <w:bookmarkEnd w:id="1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SEE ID, Inc. dba Dot Ai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b_002"/>
      <w:bookmarkEnd w:id="17"/>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2"/>
        <w:gridCol w:w="90"/>
        <w:gridCol w:w="180"/>
        <w:gridCol w:w="1283"/>
        <w:gridCol w:w="125"/>
        <w:gridCol w:w="90"/>
        <w:gridCol w:w="180"/>
        <w:gridCol w:w="1283"/>
        <w:gridCol w:w="172"/>
      </w:tblGrid>
      <w:tr>
        <w:trPr/>
        <w:tc>
          <w:tcPr>
            <w:tcW w:w="68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2" w:type="dxa"/>
            <w:tcBorders/>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865,624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721,032</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3,624,547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50,264</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1,430,881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65,248</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480,903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167,551</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6,401,955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1,004,095</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645,240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11,286</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Operating lease right-of-use assets (ROU)</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701,878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307,892</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Capitalized software development costs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2,920,718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1,761,396</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Other long-term assets</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27,893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12,103</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Total long-term assets</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4,295,729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2,092,677</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tcMar>
              <w:bottom w:w="28" w:type="dxa"/>
            </w:tcMar>
            <w:vAlign w:val="center"/>
          </w:tcPr>
          <w:p>
            <w:pPr>
              <w:pStyle w:val="TableContents"/>
              <w:bidi w:val="0"/>
              <w:spacing w:before="0" w:after="283"/>
              <w:jc w:val="right"/>
              <w:rPr/>
            </w:pPr>
            <w:r>
              <w:rPr/>
              <w:t>10,697,684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tcMar>
              <w:bottom w:w="28" w:type="dxa"/>
            </w:tcMar>
            <w:vAlign w:val="center"/>
          </w:tcPr>
          <w:p>
            <w:pPr>
              <w:pStyle w:val="TableContents"/>
              <w:bidi w:val="0"/>
              <w:spacing w:before="0" w:after="283"/>
              <w:jc w:val="right"/>
              <w:rPr/>
            </w:pPr>
            <w:r>
              <w:rPr/>
              <w:t>3,096,772</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b/>
              </w:rPr>
            </w:pPr>
            <w:r>
              <w:rPr>
                <w:b/>
              </w:rPr>
              <w:t>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4,124,924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770,276</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1,826,189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24,219</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Accrued compensation</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177,222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246,720</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Accrued franchise taxes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8,428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Derivative liabilities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78,635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Short-term debt, net</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1,540,651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Deferred revenue, current portion</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236,038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1,142,643</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Operating lease liabilities, current portion</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139,963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36,225</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8,132,050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2,220,083</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Long-term liabilities:</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SAFE notes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23,334,626</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Deferred revenue, net of current portion</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1,748,512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1,570,572</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577,656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265,413</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Total long-term liabilities</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2,326,168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25,170,611</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10,458,218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27,390,694</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Commitments and contingencies (Note 17)</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0"/>
              <w:jc w:val="right"/>
              <w:rPr/>
            </w:pPr>
            <w:r>
              <w:rPr/>
              <w:t> </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b/>
              </w:rPr>
            </w:pPr>
            <w:r>
              <w:rPr>
                <w:b/>
              </w:rPr>
              <w:t>Shareholders’ equity (deficit)</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802" w:type="dxa"/>
            <w:tcBorders/>
            <w:vAlign w:val="center"/>
          </w:tcPr>
          <w:p>
            <w:pPr>
              <w:pStyle w:val="TableContents"/>
              <w:bidi w:val="0"/>
              <w:spacing w:before="0" w:after="283"/>
              <w:jc w:val="left"/>
              <w:rPr/>
            </w:pPr>
            <w:r>
              <w:rPr/>
              <w:t>Common stock, $0.0001 par value; 300,000,000 shares authorized; 29,273,321 and 12,210,718 shares issued and outstanding as of December 31, 2025 and 2024, respectively</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2,927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1,221</w:t>
            </w:r>
          </w:p>
        </w:tc>
        <w:tc>
          <w:tcPr>
            <w:tcW w:w="172" w:type="dxa"/>
            <w:tcBorders/>
            <w:vAlign w:val="center"/>
          </w:tcPr>
          <w:p>
            <w:pPr>
              <w:pStyle w:val="TableContents"/>
              <w:bidi w:val="0"/>
              <w:spacing w:before="0" w:after="283"/>
              <w:jc w:val="left"/>
              <w:rPr/>
            </w:pPr>
            <w:r>
              <w:rPr/>
              <w:t> </w:t>
            </w:r>
          </w:p>
        </w:tc>
      </w:tr>
      <w:tr>
        <w:trPr/>
        <w:tc>
          <w:tcPr>
            <w:tcW w:w="6802"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61,687,873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438,120</w:t>
            </w:r>
          </w:p>
        </w:tc>
        <w:tc>
          <w:tcPr>
            <w:tcW w:w="172" w:type="dxa"/>
            <w:tcBorders/>
            <w:shd w:fill="CCEEFF" w:val="clear"/>
            <w:vAlign w:val="center"/>
          </w:tcPr>
          <w:p>
            <w:pPr>
              <w:pStyle w:val="TableContents"/>
              <w:bidi w:val="0"/>
              <w:spacing w:before="0" w:after="283"/>
              <w:jc w:val="left"/>
              <w:rPr/>
            </w:pPr>
            <w:r>
              <w:rPr/>
              <w:t> </w:t>
            </w:r>
          </w:p>
        </w:tc>
      </w:tr>
      <w:tr>
        <w:trPr/>
        <w:tc>
          <w:tcPr>
            <w:tcW w:w="6802"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(61,451,334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(24,733,263</w:t>
            </w:r>
          </w:p>
        </w:tc>
        <w:tc>
          <w:tcPr>
            <w:tcW w:w="172" w:type="dxa"/>
            <w:tcBorders/>
            <w:vAlign w:val="center"/>
          </w:tcPr>
          <w:p>
            <w:pPr>
              <w:pStyle w:val="TableContents"/>
              <w:bidi w:val="0"/>
              <w:spacing w:before="0" w:after="283"/>
              <w:jc w:val="left"/>
              <w:rPr/>
            </w:pPr>
            <w:r>
              <w:rPr/>
              <w:t>)</w:t>
            </w:r>
          </w:p>
        </w:tc>
      </w:tr>
      <w:tr>
        <w:trPr/>
        <w:tc>
          <w:tcPr>
            <w:tcW w:w="6802" w:type="dxa"/>
            <w:tcBorders/>
            <w:shd w:fill="CCEEFF" w:val="clear"/>
            <w:vAlign w:val="center"/>
          </w:tcPr>
          <w:p>
            <w:pPr>
              <w:pStyle w:val="TableContents"/>
              <w:bidi w:val="0"/>
              <w:spacing w:before="0" w:after="283"/>
              <w:jc w:val="left"/>
              <w:rPr>
                <w:b/>
              </w:rPr>
            </w:pPr>
            <w:r>
              <w:rPr>
                <w:b/>
              </w:rPr>
              <w:t>Total shareholders’ equity (deficit)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239,466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(24,293,922</w:t>
            </w:r>
          </w:p>
        </w:tc>
        <w:tc>
          <w:tcPr>
            <w:tcW w:w="172" w:type="dxa"/>
            <w:tcBorders/>
            <w:shd w:fill="CCEEFF" w:val="clear"/>
            <w:vAlign w:val="center"/>
          </w:tcPr>
          <w:p>
            <w:pPr>
              <w:pStyle w:val="TableContents"/>
              <w:bidi w:val="0"/>
              <w:spacing w:before="0" w:after="283"/>
              <w:jc w:val="left"/>
              <w:rPr/>
            </w:pPr>
            <w:r>
              <w:rPr/>
              <w:t>)</w:t>
            </w:r>
          </w:p>
        </w:tc>
      </w:tr>
      <w:tr>
        <w:trPr/>
        <w:tc>
          <w:tcPr>
            <w:tcW w:w="6802" w:type="dxa"/>
            <w:tcBorders/>
            <w:vAlign w:val="center"/>
          </w:tcPr>
          <w:p>
            <w:pPr>
              <w:pStyle w:val="TableContents"/>
              <w:bidi w:val="0"/>
              <w:spacing w:before="0" w:after="283"/>
              <w:jc w:val="left"/>
              <w:rPr>
                <w:b/>
              </w:rPr>
            </w:pPr>
            <w:r>
              <w:rPr>
                <w:b/>
              </w:rPr>
              <w:t>Total liabilities and shareholders’ equity (deficit)</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tcMar>
              <w:bottom w:w="28" w:type="dxa"/>
            </w:tcMar>
            <w:vAlign w:val="center"/>
          </w:tcPr>
          <w:p>
            <w:pPr>
              <w:pStyle w:val="TableContents"/>
              <w:bidi w:val="0"/>
              <w:spacing w:before="0" w:after="283"/>
              <w:jc w:val="right"/>
              <w:rPr/>
            </w:pPr>
            <w:r>
              <w:rPr/>
              <w:t>10,697,684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tcMar>
              <w:bottom w:w="28" w:type="dxa"/>
            </w:tcMar>
            <w:vAlign w:val="center"/>
          </w:tcPr>
          <w:p>
            <w:pPr>
              <w:pStyle w:val="TableContents"/>
              <w:bidi w:val="0"/>
              <w:spacing w:before="0" w:after="283"/>
              <w:jc w:val="right"/>
              <w:rPr/>
            </w:pPr>
            <w:r>
              <w:rPr/>
              <w:t>3,096,772</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_003"/>
      <w:bookmarkEnd w:id="18"/>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30"/>
        <w:gridCol w:w="90"/>
        <w:gridCol w:w="170"/>
        <w:gridCol w:w="1205"/>
        <w:gridCol w:w="125"/>
        <w:gridCol w:w="90"/>
        <w:gridCol w:w="170"/>
        <w:gridCol w:w="1205"/>
        <w:gridCol w:w="170"/>
      </w:tblGrid>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70"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413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5,804,369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172,661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3,133,139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43,634</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2,671,230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129,027</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6,764,453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1,563,328</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1,446,203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850,261</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3,671,865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2,721,981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Acquisition and integration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1,154,857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2,038,130</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36,463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13,073,841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7,173,700</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(10,402,611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Other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(404,624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Change in fair value of SAFE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(17,368,415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(14,492,176</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Change in fair value of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158,241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Business combination transaction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(2,726,183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Loss on extinguishment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(5,728,295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Loss on issuance of shares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(246,184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Total other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(26,315,460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(14,492,176</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(36,718,071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(21,536,849</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581</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(36,718,071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(21,537,430</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Net loss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(1.78</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vAlign w:val="center"/>
          </w:tcPr>
          <w:p>
            <w:pPr>
              <w:pStyle w:val="TableContents"/>
              <w:bidi w:val="0"/>
              <w:spacing w:before="0" w:after="283"/>
              <w:jc w:val="left"/>
              <w:rPr/>
            </w:pPr>
            <w:r>
              <w:rPr/>
              <w:t>Weighted average number of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20,579,971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12,124,303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b_004"/>
      <w:bookmarkEnd w:id="19"/>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1835" w:type="dxa"/>
        <w:jc w:val="left"/>
        <w:tblInd w:w="0" w:type="dxa"/>
        <w:tblLayout w:type="fixed"/>
        <w:tblCellMar>
          <w:top w:w="0" w:type="dxa"/>
          <w:left w:w="0" w:type="dxa"/>
          <w:bottom w:w="0" w:type="dxa"/>
          <w:right w:w="0" w:type="dxa"/>
        </w:tblCellMar>
      </w:tblPr>
      <w:tblGrid>
        <w:gridCol w:w="1490"/>
        <w:gridCol w:w="90"/>
        <w:gridCol w:w="90"/>
        <w:gridCol w:w="1325"/>
        <w:gridCol w:w="125"/>
        <w:gridCol w:w="90"/>
        <w:gridCol w:w="170"/>
        <w:gridCol w:w="905"/>
        <w:gridCol w:w="125"/>
        <w:gridCol w:w="90"/>
        <w:gridCol w:w="90"/>
        <w:gridCol w:w="1130"/>
        <w:gridCol w:w="90"/>
        <w:gridCol w:w="90"/>
        <w:gridCol w:w="199"/>
        <w:gridCol w:w="691"/>
        <w:gridCol w:w="90"/>
        <w:gridCol w:w="90"/>
        <w:gridCol w:w="170"/>
        <w:gridCol w:w="1130"/>
        <w:gridCol w:w="90"/>
        <w:gridCol w:w="90"/>
        <w:gridCol w:w="173"/>
        <w:gridCol w:w="1227"/>
        <w:gridCol w:w="125"/>
        <w:gridCol w:w="90"/>
        <w:gridCol w:w="173"/>
        <w:gridCol w:w="1227"/>
        <w:gridCol w:w="370"/>
      </w:tblGrid>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Legacy Common Stock</w:t>
              <w:br/>
              <w:t>Prior to retroactive</w:t>
              <w:br/>
              <w:t>application of</w:t>
              <w:br/>
              <w:t>recapitalization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Total</w:t>
              <w:br/>
              <w:t>Shareholders’</w:t>
            </w:r>
          </w:p>
        </w:tc>
        <w:tc>
          <w:tcPr>
            <w:tcW w:w="37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3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Balances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108,975,000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108,975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133,360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(3,195,833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(2,953,498</w:t>
            </w:r>
          </w:p>
        </w:tc>
        <w:tc>
          <w:tcPr>
            <w:tcW w:w="370" w:type="dxa"/>
            <w:tcBorders/>
            <w:shd w:fill="CCEEFF" w:val="clear"/>
            <w:vAlign w:val="center"/>
          </w:tcPr>
          <w:p>
            <w:pPr>
              <w:pStyle w:val="TableContents"/>
              <w:bidi w:val="0"/>
              <w:spacing w:before="0" w:after="283"/>
              <w:ind w:left="0" w:right="0" w:firstLine="200"/>
              <w:jc w:val="left"/>
              <w:rPr/>
            </w:pPr>
            <w:r>
              <w:rPr/>
              <w:t>)</w:t>
            </w:r>
          </w:p>
        </w:tc>
      </w:tr>
      <w:tr>
        <w:trPr/>
        <w:tc>
          <w:tcPr>
            <w:tcW w:w="1490" w:type="dxa"/>
            <w:tcBorders/>
            <w:vAlign w:val="center"/>
          </w:tcPr>
          <w:p>
            <w:pPr>
              <w:pStyle w:val="TableContents"/>
              <w:bidi w:val="0"/>
              <w:spacing w:before="0" w:after="283"/>
              <w:jc w:val="left"/>
              <w:rPr/>
            </w:pPr>
            <w:r>
              <w:rPr/>
              <w:t>Retroactive application of recapitalization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(108,975,000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(108,975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12,208,851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1,221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107,754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0"/>
              <w:jc w:val="right"/>
              <w:rPr/>
            </w:pPr>
            <w:r>
              <w:rPr/>
              <w:t>-</w:t>
            </w:r>
          </w:p>
        </w:tc>
        <w:tc>
          <w:tcPr>
            <w:tcW w:w="37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Balances as of December 31, 2023, adjusted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12,208,851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241,114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(3,195,833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(2,953,498</w:t>
            </w:r>
          </w:p>
        </w:tc>
        <w:tc>
          <w:tcPr>
            <w:tcW w:w="370" w:type="dxa"/>
            <w:tcBorders/>
            <w:shd w:fill="CCEEFF" w:val="clear"/>
            <w:vAlign w:val="center"/>
          </w:tcPr>
          <w:p>
            <w:pPr>
              <w:pStyle w:val="TableContents"/>
              <w:bidi w:val="0"/>
              <w:spacing w:before="0" w:after="283"/>
              <w:ind w:left="0" w:right="0" w:firstLine="200"/>
              <w:jc w:val="left"/>
              <w:rPr/>
            </w:pPr>
            <w:r>
              <w:rPr/>
              <w:t>)</w:t>
            </w:r>
          </w:p>
        </w:tc>
      </w:tr>
      <w:tr>
        <w:trPr/>
        <w:tc>
          <w:tcPr>
            <w:tcW w:w="149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197,006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197,006</w:t>
            </w:r>
          </w:p>
        </w:tc>
        <w:tc>
          <w:tcPr>
            <w:tcW w:w="370" w:type="dxa"/>
            <w:tcBorders/>
            <w:vAlign w:val="center"/>
          </w:tcPr>
          <w:p>
            <w:pPr>
              <w:pStyle w:val="TableContents"/>
              <w:bidi w:val="0"/>
              <w:spacing w:before="0" w:after="283"/>
              <w:ind w:left="0" w:right="0" w:firstLine="200"/>
              <w:jc w:val="left"/>
              <w:rPr/>
            </w:pPr>
            <w:r>
              <w:rPr/>
              <w:t> </w:t>
            </w:r>
          </w:p>
        </w:tc>
      </w:tr>
      <w:tr>
        <w:trPr/>
        <w:tc>
          <w:tcPr>
            <w:tcW w:w="149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(21,537,430</w:t>
            </w:r>
          </w:p>
        </w:tc>
        <w:tc>
          <w:tcPr>
            <w:tcW w:w="370" w:type="dxa"/>
            <w:tcBorders/>
            <w:shd w:fill="CCEEFF" w:val="clear"/>
            <w:vAlign w:val="center"/>
          </w:tcPr>
          <w:p>
            <w:pPr>
              <w:pStyle w:val="TableContents"/>
              <w:bidi w:val="0"/>
              <w:spacing w:before="0" w:after="283"/>
              <w:jc w:val="left"/>
              <w:rPr/>
            </w:pPr>
            <w:r>
              <w:rPr/>
              <w:t>)</w:t>
            </w:r>
          </w:p>
        </w:tc>
      </w:tr>
      <w:tr>
        <w:trPr/>
        <w:tc>
          <w:tcPr>
            <w:tcW w:w="1490" w:type="dxa"/>
            <w:tcBorders/>
            <w:vAlign w:val="center"/>
          </w:tcPr>
          <w:p>
            <w:pPr>
              <w:pStyle w:val="TableContents"/>
              <w:bidi w:val="0"/>
              <w:spacing w:before="0" w:after="283"/>
              <w:jc w:val="left"/>
              <w:rPr/>
            </w:pPr>
            <w:r>
              <w:rPr/>
              <w:t>Balances as of December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12,210,718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1,221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438,120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(24,733,263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(24,293,922</w:t>
            </w:r>
          </w:p>
        </w:tc>
        <w:tc>
          <w:tcPr>
            <w:tcW w:w="370" w:type="dxa"/>
            <w:tcBorders/>
            <w:vAlign w:val="center"/>
          </w:tcPr>
          <w:p>
            <w:pPr>
              <w:pStyle w:val="TableContents"/>
              <w:bidi w:val="0"/>
              <w:spacing w:before="0" w:after="283"/>
              <w:ind w:left="0" w:right="0" w:firstLine="200"/>
              <w:jc w:val="left"/>
              <w:rPr/>
            </w:pPr>
            <w:r>
              <w:rPr/>
              <w:t>)</w:t>
            </w:r>
          </w:p>
        </w:tc>
      </w:tr>
      <w:tr>
        <w:trPr/>
        <w:tc>
          <w:tcPr>
            <w:tcW w:w="149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37,827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37,827</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1490" w:type="dxa"/>
            <w:tcBorders/>
            <w:vAlign w:val="center"/>
          </w:tcPr>
          <w:p>
            <w:pPr>
              <w:pStyle w:val="TableContents"/>
              <w:bidi w:val="0"/>
              <w:spacing w:before="0" w:after="283"/>
              <w:jc w:val="left"/>
              <w:rPr/>
            </w:pPr>
            <w:r>
              <w:rPr/>
              <w:t>Reverse recapitalization transactions,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15,426,221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56,155,649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56,157,192</w:t>
            </w:r>
          </w:p>
        </w:tc>
        <w:tc>
          <w:tcPr>
            <w:tcW w:w="370" w:type="dxa"/>
            <w:tcBorders/>
            <w:vAlign w:val="center"/>
          </w:tcPr>
          <w:p>
            <w:pPr>
              <w:pStyle w:val="TableContents"/>
              <w:bidi w:val="0"/>
              <w:spacing w:before="0" w:after="283"/>
              <w:ind w:left="0" w:right="0" w:firstLine="200"/>
              <w:jc w:val="left"/>
              <w:rPr/>
            </w:pPr>
            <w:r>
              <w:rPr/>
              <w:t> </w:t>
            </w:r>
          </w:p>
        </w:tc>
      </w:tr>
      <w:tr>
        <w:trPr/>
        <w:tc>
          <w:tcPr>
            <w:tcW w:w="1490" w:type="dxa"/>
            <w:tcBorders/>
            <w:shd w:fill="CCEEFF" w:val="clear"/>
            <w:vAlign w:val="center"/>
          </w:tcPr>
          <w:p>
            <w:pPr>
              <w:pStyle w:val="TableContents"/>
              <w:bidi w:val="0"/>
              <w:spacing w:before="0" w:after="283"/>
              <w:jc w:val="left"/>
              <w:rPr/>
            </w:pPr>
            <w:r>
              <w:rPr/>
              <w:t>Share purchase commitment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106,382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349,990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350,000</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1490" w:type="dxa"/>
            <w:tcBorders/>
            <w:vAlign w:val="center"/>
          </w:tcPr>
          <w:p>
            <w:pPr>
              <w:pStyle w:val="TableContents"/>
              <w:bidi w:val="0"/>
              <w:spacing w:before="0" w:after="283"/>
              <w:jc w:val="left"/>
              <w:rPr/>
            </w:pPr>
            <w:r>
              <w:rPr/>
              <w:t>Share issuance for 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1,530,000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801,047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801,200</w:t>
            </w:r>
          </w:p>
        </w:tc>
        <w:tc>
          <w:tcPr>
            <w:tcW w:w="370" w:type="dxa"/>
            <w:tcBorders/>
            <w:vAlign w:val="center"/>
          </w:tcPr>
          <w:p>
            <w:pPr>
              <w:pStyle w:val="TableContents"/>
              <w:bidi w:val="0"/>
              <w:spacing w:before="0" w:after="283"/>
              <w:ind w:left="0" w:right="0" w:firstLine="200"/>
              <w:jc w:val="left"/>
              <w:rPr/>
            </w:pPr>
            <w:r>
              <w:rPr/>
              <w:t> </w:t>
            </w:r>
          </w:p>
        </w:tc>
      </w:tr>
      <w:tr>
        <w:trPr/>
        <w:tc>
          <w:tcPr>
            <w:tcW w:w="1490" w:type="dxa"/>
            <w:tcBorders/>
            <w:shd w:fill="CCEEFF" w:val="clear"/>
            <w:vAlign w:val="center"/>
          </w:tcPr>
          <w:p>
            <w:pPr>
              <w:pStyle w:val="TableContents"/>
              <w:bidi w:val="0"/>
              <w:spacing w:before="0" w:after="283"/>
              <w:jc w:val="left"/>
              <w:rPr/>
            </w:pPr>
            <w:r>
              <w:rPr/>
              <w:t>Excise tax forgiveness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3,905,240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3,905,240</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(36,718,071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(36,718,071</w:t>
            </w:r>
          </w:p>
        </w:tc>
        <w:tc>
          <w:tcPr>
            <w:tcW w:w="370" w:type="dxa"/>
            <w:tcBorders/>
            <w:vAlign w:val="center"/>
          </w:tcPr>
          <w:p>
            <w:pPr>
              <w:pStyle w:val="TableContents"/>
              <w:bidi w:val="0"/>
              <w:spacing w:before="0" w:after="283"/>
              <w:jc w:val="left"/>
              <w:rPr/>
            </w:pPr>
            <w:r>
              <w:rPr/>
              <w:t>)</w:t>
            </w:r>
          </w:p>
        </w:tc>
      </w:tr>
      <w:tr>
        <w:trPr/>
        <w:tc>
          <w:tcPr>
            <w:tcW w:w="1490" w:type="dxa"/>
            <w:tcBorders/>
            <w:shd w:fill="CCEEFF" w:val="clear"/>
            <w:vAlign w:val="center"/>
          </w:tcPr>
          <w:p>
            <w:pPr>
              <w:pStyle w:val="TableContents"/>
              <w:bidi w:val="0"/>
              <w:spacing w:before="0" w:after="283"/>
              <w:jc w:val="left"/>
              <w:rPr/>
            </w:pPr>
            <w:r>
              <w:rPr/>
              <w:t>Balances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29,273,321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pPr>
            <w:r>
              <w:rPr/>
              <w:t>2,927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61,687,873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(61,451,334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239,466</w:t>
            </w:r>
          </w:p>
        </w:tc>
        <w:tc>
          <w:tcPr>
            <w:tcW w:w="3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b_005"/>
      <w:bookmarkEnd w:id="20"/>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0"/>
        <w:gridCol w:w="90"/>
        <w:gridCol w:w="170"/>
        <w:gridCol w:w="1205"/>
        <w:gridCol w:w="125"/>
        <w:gridCol w:w="90"/>
        <w:gridCol w:w="170"/>
        <w:gridCol w:w="1205"/>
        <w:gridCol w:w="170"/>
      </w:tblGrid>
      <w:tr>
        <w:trPr/>
        <w:tc>
          <w:tcPr>
            <w:tcW w:w="6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70" w:type="dxa"/>
            <w:tcBorders/>
            <w:vAlign w:val="center"/>
          </w:tcPr>
          <w:p>
            <w:pPr>
              <w:pStyle w:val="TableContents"/>
              <w:bidi w:val="0"/>
              <w:spacing w:before="0" w:after="283"/>
              <w:jc w:val="center"/>
              <w:rPr/>
            </w:pPr>
            <w:r>
              <w:rPr/>
              <w:t> </w:t>
            </w:r>
          </w:p>
        </w:tc>
      </w:tr>
      <w:tr>
        <w:trPr/>
        <w:tc>
          <w:tcPr>
            <w:tcW w:w="69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6980"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(36,718,071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(21,537,430</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Amortization of debt origination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15,833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17,368,415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14,492,176</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Change in fair value of derivative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(158,241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Transaction costs paid in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156,869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37,827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197,006</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Noncash operating lease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98,850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37,689</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5,728,295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Loss on share issuance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246,184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Reverse recapitalization transaction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566,071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Fair value of shares issued as commitment fee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Change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(3,574,283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(45,486</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(311,543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(35,095</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(1,365,633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(65,248</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3,354,648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768,542</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Accrued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1,801,970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714</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Accrued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(69,498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227,852</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Accrued franchise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8,428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(94,452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(43,943</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(728,665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2,713,215</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(13,250,533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(3,290,008</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(670,417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Capitalized software development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(1,159,322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(834,220</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(1,829,739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(834,220</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Proceeds from issuance of bridge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Proceeds from issuance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23,752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4,239,500</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Proceeds from issuance of short term loan,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Proceeds from issuance of new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555,016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Payment of debt origination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Repayment of bridge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(1,380,545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Repayment of short term loan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(48,306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Proceeds from PIPE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10,837,643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Purchase of 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Proceeds from Trust account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5,577,304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15,224,864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4,239,500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Net increase in cash during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144,592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115,272</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721,032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605,760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865,624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721,032</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b/>
              </w:rPr>
            </w:pPr>
            <w:r>
              <w:rPr>
                <w:b/>
              </w:rPr>
              <w:t>SUPPLEMENTAL DISCLOSURE OF NON-CASH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Right-of-use asset obtained in exchange for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482,227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324,426</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Conversion of SAFE notes to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40,726,793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Conversion of short-term debt to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8,597,750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b/>
              </w:rPr>
            </w:pPr>
            <w:r>
              <w:rPr>
                <w:b/>
              </w:rPr>
              <w:t>SUPPLEMENTAL DISCLOSURE OF CASH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377,028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b_006"/>
      <w:bookmarkEnd w:id="21"/>
      <w:r>
        <w:rPr>
          <w:rFonts w:ascii="Times New Roman;Times;Serif" w:hAnsi="Times New Roman;Times;Serif"/>
          <w:b/>
          <w:i w:val="false"/>
          <w:caps w:val="false"/>
          <w:smallCaps w:val="false"/>
          <w:sz w:val="20"/>
        </w:rPr>
        <w:t>NOTES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ShoulderUp Technology Acquisition Corp., a Delaware corporation (“</w:t>
      </w:r>
      <w:r>
        <w:rPr>
          <w:rFonts w:ascii="Times New Roman;Times;Serif" w:hAnsi="Times New Roman;Times;Serif"/>
          <w:b/>
          <w:i/>
          <w:caps w:val="false"/>
          <w:smallCaps w:val="false"/>
          <w:sz w:val="20"/>
        </w:rPr>
        <w:t>ShoulderUp</w:t>
      </w:r>
      <w:r>
        <w:rPr>
          <w:rFonts w:ascii="Times New Roman;Times;Serif" w:hAnsi="Times New Roman;Times;Serif"/>
          <w:b w:val="false"/>
          <w:i w:val="false"/>
          <w:caps w:val="false"/>
          <w:smallCaps w:val="false"/>
          <w:sz w:val="20"/>
        </w:rPr>
        <w:t>”), entered into a Business Combination Agreement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CID Holdco, Inc., a Delaware corporation and a direct, wholly-owned subsidiary of ShoulderUp (“</w:t>
      </w:r>
      <w:r>
        <w:rPr>
          <w:rFonts w:ascii="Times New Roman;Times;Serif" w:hAnsi="Times New Roman;Times;Serif"/>
          <w:b/>
          <w:i/>
          <w:caps w:val="false"/>
          <w:smallCaps w:val="false"/>
          <w:sz w:val="20"/>
        </w:rPr>
        <w:t>Holdings</w:t>
      </w:r>
      <w:r>
        <w:rPr>
          <w:rFonts w:ascii="Times New Roman;Times;Serif" w:hAnsi="Times New Roman;Times;Serif"/>
          <w:b w:val="false"/>
          <w:i w:val="false"/>
          <w:caps w:val="false"/>
          <w:smallCaps w:val="false"/>
          <w:sz w:val="20"/>
        </w:rPr>
        <w:t>”), ShoulderUp Merger Sub, Inc., a Delaware corporation and wholly-owned subsidiary of Holdings (“</w:t>
      </w:r>
      <w:r>
        <w:rPr>
          <w:rFonts w:ascii="Times New Roman;Times;Serif" w:hAnsi="Times New Roman;Times;Serif"/>
          <w:b/>
          <w:i/>
          <w:caps w:val="false"/>
          <w:smallCaps w:val="false"/>
          <w:sz w:val="20"/>
        </w:rPr>
        <w:t>ShoulderUp Merger Sub</w:t>
      </w:r>
      <w:r>
        <w:rPr>
          <w:rFonts w:ascii="Times New Roman;Times;Serif" w:hAnsi="Times New Roman;Times;Serif"/>
          <w:b w:val="false"/>
          <w:i w:val="false"/>
          <w:caps w:val="false"/>
          <w:smallCaps w:val="false"/>
          <w:sz w:val="20"/>
        </w:rPr>
        <w:t>”), SEI Merger Sub, Inc., a Delaware corporation and a direct, wholly owned subsidiary of Holdings (“</w:t>
      </w:r>
      <w:r>
        <w:rPr>
          <w:rFonts w:ascii="Times New Roman;Times;Serif" w:hAnsi="Times New Roman;Times;Serif"/>
          <w:b/>
          <w:i/>
          <w:caps w:val="false"/>
          <w:smallCaps w:val="false"/>
          <w:sz w:val="20"/>
        </w:rPr>
        <w:t>SEI Merger Sub</w:t>
      </w:r>
      <w:r>
        <w:rPr>
          <w:rFonts w:ascii="Times New Roman;Times;Serif" w:hAnsi="Times New Roman;Times;Serif"/>
          <w:b w:val="false"/>
          <w:i w:val="false"/>
          <w:caps w:val="false"/>
          <w:smallCaps w:val="false"/>
          <w:sz w:val="20"/>
        </w:rPr>
        <w:t>” and together with ShoulderUp Merger Sub, the “</w:t>
      </w:r>
      <w:r>
        <w:rPr>
          <w:rFonts w:ascii="Times New Roman;Times;Serif" w:hAnsi="Times New Roman;Times;Serif"/>
          <w:b/>
          <w:i/>
          <w:caps w:val="false"/>
          <w:smallCaps w:val="false"/>
          <w:sz w:val="20"/>
        </w:rPr>
        <w:t>Merger Subs</w:t>
      </w:r>
      <w:r>
        <w:rPr>
          <w:rFonts w:ascii="Times New Roman;Times;Serif" w:hAnsi="Times New Roman;Times;Serif"/>
          <w:b w:val="false"/>
          <w:i w:val="false"/>
          <w:caps w:val="false"/>
          <w:smallCaps w:val="false"/>
          <w:sz w:val="20"/>
        </w:rPr>
        <w:t>”), and SEE ID, Inc., a Nevada corporation (collectively with any predecessor entities,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Financial Accounting Standards Board (“FASB”) Accounting Standards Codification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entered into a share subscription line of credit agreement under which the Company can access up to $50,000,000 in aggregate proceeds (see Note 9) to fund its R&amp;D activities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Accounting Standards Update (“ASU”) No. 2024-03,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2024-04, </w:t>
      </w:r>
      <w:r>
        <w:rPr>
          <w:rFonts w:ascii="Times New Roman;Times;Serif" w:hAnsi="Times New Roman;Times;Serif"/>
          <w:b w:val="false"/>
          <w:i/>
          <w:caps w:val="false"/>
          <w:smallCaps w:val="false"/>
          <w:sz w:val="20"/>
        </w:rPr>
        <w:t>Debt—Debt with Conversion and Other Options (Subtopic 470-20): Clarifications to Accounting for Certain Convertible Debt Instruments</w:t>
      </w:r>
      <w:r>
        <w:rPr>
          <w:rFonts w:ascii="Times New Roman;Times;Serif" w:hAnsi="Times New Roman;Times;Serif"/>
          <w:b w:val="false"/>
          <w:i w:val="false"/>
          <w:caps w:val="false"/>
          <w:smallCaps w:val="false"/>
          <w:sz w:val="20"/>
        </w:rPr>
        <w:t>, which amends ASC 470-202 to clarify the requirements related to accounting for the settlement of a debt 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Adopted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No.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in these notes to the consolidated financial statements for further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No.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deposits with major financial institutions, that at times, are greater than the FDIC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pStyle w:val="TextBody"/>
        <w:bidi w:val="0"/>
        <w:spacing w:before="0" w:after="0"/>
        <w:ind w:left="0" w:right="0" w:hanging="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68"/>
        <w:gridCol w:w="20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Quoted prices in active markets for identical assets or liabilities that the entity can access.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fair value of the assets and liabilities.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derived from customers located primarily in North America. The Company generally does not require collateral to support customer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Topic 350-40, </w:t>
      </w:r>
      <w:r>
        <w:rPr>
          <w:rFonts w:ascii="Times New Roman;Times;Serif" w:hAnsi="Times New Roman;Times;Serif"/>
          <w:b w:val="false"/>
          <w:i/>
          <w:caps w:val="false"/>
          <w:smallCaps w:val="false"/>
          <w:sz w:val="20"/>
        </w:rPr>
        <w:t>Intangibles-Goodwill and Other-Internal-Use Software</w:t>
      </w:r>
      <w:r>
        <w:rPr>
          <w:rFonts w:ascii="Times New Roman;Times;Serif" w:hAnsi="Times New Roman;Times;Serif"/>
          <w:b w:val="false"/>
          <w:i w:val="false"/>
          <w:caps w:val="false"/>
          <w:smallCaps w:val="false"/>
          <w:sz w:val="20"/>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payments are included in the future lease payments when those variable payments depend on an index or a 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convertible debt instruments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Embedded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short-term loan are accounted for as a separate derivative liability. The warrants are measured at fair value at each reporting date, and changes in fair value are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transaction was accounted for as a reverse recapitalization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primarily recognizes revenue from the sale and delivery of products. As it is still in the early stages of developing its software-as-a-service (SaaS) product, most revenue is derived from product sales, including bridges, gateways, and labels.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consists of payments received in advance of satisfaction of a performance obligation and is recognized as the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Times;Serif" w:hAnsi="Times New Roman;Times;Serif"/>
          <w:b w:val="false"/>
          <w:i/>
          <w:caps w:val="false"/>
          <w:smallCaps w:val="false"/>
          <w:sz w:val="20"/>
        </w:rPr>
        <w:t>Other Assets and Deferred Costs—Contracts with Customers</w:t>
      </w:r>
      <w:r>
        <w:rPr>
          <w:rFonts w:ascii="Times New Roman;Times;Serif" w:hAnsi="Times New Roman;Times;Serif"/>
          <w:b w:val="false"/>
          <w:i w:val="false"/>
          <w:caps w:val="false"/>
          <w:smallCaps w:val="false"/>
          <w:sz w:val="20"/>
        </w:rPr>
        <w:t>, to expense incremental costs of obtaining a contract when incurred. Accordingly, all commission expenses are recognized in the period the related customer contract is executed and are not capitalized.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when recording share-based compensation. The fair value of each stock option award is estimated on the date of grant using the Black-Scholes option valuation model. The assumptions used in the Black-Scholes valuation model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Grant Price - </w:t>
      </w:r>
      <w:r>
        <w:rPr>
          <w:rFonts w:ascii="Times New Roman;Times;Serif" w:hAnsi="Times New Roman;Times;Serif"/>
          <w:b w:val="false"/>
          <w:i w:val="false"/>
          <w:caps w:val="false"/>
          <w:smallCaps w:val="false"/>
          <w:sz w:val="20"/>
        </w:rPr>
        <w:t>The grant price of the issuances is determined based on the estimated fair value of the shares at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Risk-Free Interest Rate - </w:t>
      </w:r>
      <w:r>
        <w:rPr>
          <w:rFonts w:ascii="Times New Roman;Times;Serif" w:hAnsi="Times New Roman;Times;Serif"/>
          <w:b w:val="false"/>
          <w:i w:val="false"/>
          <w:caps w:val="false"/>
          <w:smallCaps w:val="false"/>
          <w:sz w:val="20"/>
        </w:rPr>
        <w:t>The risk-free interest rate for periods within the contractual life of the option is based on the U.S. Treasury yield in effect at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Lives - </w:t>
      </w:r>
      <w:r>
        <w:rPr>
          <w:rFonts w:ascii="Times New Roman;Times;Serif" w:hAnsi="Times New Roman;Times;Serif"/>
          <w:b w:val="false"/>
          <w:i w:val="false"/>
          <w:caps w:val="false"/>
          <w:smallCaps w:val="false"/>
          <w:sz w:val="20"/>
        </w:rPr>
        <w:t>Due to the Company’s insufficient history of option activity, management utilizes the simplified approach to estimate the options’ expected term, which represents the period of time that options granted are expected to be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Determined based on management’s estimate or historical volatilities of comparable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Expected Dividend Yield - </w:t>
      </w:r>
      <w:r>
        <w:rPr>
          <w:rFonts w:ascii="Times New Roman;Times;Serif" w:hAnsi="Times New Roman;Times;Serif"/>
          <w:b w:val="false"/>
          <w:i w:val="false"/>
          <w:caps w:val="false"/>
          <w:smallCaps w:val="false"/>
          <w:sz w:val="20"/>
        </w:rPr>
        <w:t>Based on current yield at the grant date or the average dividend yield over the historical period. The Company has never declared or paid dividends and has no plans to do so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and Integration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acquisition and integration costs of $1,154,857 for the year ended December 31, 2025, primarily related to professional fees, legal and accounting services, severance, and other costs associated with recent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transaction costs incurred in connection with de-SPAC transactions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Revisions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Business Combination and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entered into a Business Combination Agreement with ShoulderUp, ShoulderUp Merger Sub, Inc., SEI Merger Sub, Inc. and the Legacy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2025, the Company consummated its Business Combination pursuant to the terms of the Business Combination Agreement. The Business Combination was structured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total of 506,589 shares of Common Stock were issued to the public shareholders of ShoulderUp. An additional 6,698,333 shares were issued to ShoulderUp’s officers and directors, ShoulderUp Technology Sponsor LLC (the “Sponsor”), and each transferee of founder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1,345,001 shares of Common Stock were issued to certain original public shareholders who had previously agreed not to redeem their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of SEE ID’s 108,975,000 Common Stock issued and outstanding immediately prior to the Closing was canceled and converted into 12,210,718 shares of the Company’s Common Stock after giving effect to the exchange ratio of 0.11205.</w:t>
            </w:r>
          </w:p>
        </w:tc>
      </w:tr>
    </w:tbl>
    <w:p>
      <w:pPr>
        <w:pStyle w:val="TextBody"/>
        <w:bidi w:val="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68"/>
        <w:gridCol w:w="200"/>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2,909,057 shares of Common Stock were issued to the SEE ID SAFE note holders.</w:t>
            </w:r>
          </w:p>
        </w:tc>
      </w:tr>
    </w:tbl>
    <w:p>
      <w:pPr>
        <w:pStyle w:val="TextBody"/>
        <w:bidi w:val="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68"/>
        <w:gridCol w:w="200"/>
        <w:gridCol w:w="8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11,205 shares of Common Stock were issued in exchange for financial advisory services at Closing.</w:t>
            </w:r>
          </w:p>
        </w:tc>
      </w:tr>
    </w:tbl>
    <w:p>
      <w:pPr>
        <w:pStyle w:val="TextBody"/>
        <w:bidi w:val="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3,323,536 shares of Common Stock were issued to three major PIPE investors.</w:t>
            </w:r>
          </w:p>
        </w:tc>
      </w:tr>
    </w:tbl>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68"/>
        <w:gridCol w:w="200"/>
        <w:gridCol w:w="85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assumed 15,654,983 public and private warrants of ShoulderUp, net of 20,017 forfeitures.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issued in connection with the Business Combination and subsequent equity conversion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28"/>
        <w:gridCol w:w="90"/>
        <w:gridCol w:w="119"/>
        <w:gridCol w:w="1506"/>
        <w:gridCol w:w="162"/>
      </w:tblGrid>
      <w:tr>
        <w:trPr/>
        <w:tc>
          <w:tcPr>
            <w:tcW w:w="83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left"/>
              <w:rPr>
                <w:b/>
              </w:rPr>
            </w:pPr>
            <w:r>
              <w:rPr>
                <w:b/>
              </w:rPr>
              <w:t>Common Stock</w:t>
            </w:r>
          </w:p>
        </w:tc>
        <w:tc>
          <w:tcPr>
            <w:tcW w:w="162" w:type="dxa"/>
            <w:tcBorders/>
            <w:vAlign w:val="center"/>
          </w:tcPr>
          <w:p>
            <w:pPr>
              <w:pStyle w:val="TableContents"/>
              <w:bidi w:val="0"/>
              <w:spacing w:before="0" w:after="283"/>
              <w:jc w:val="left"/>
              <w:rPr/>
            </w:pPr>
            <w:r>
              <w:rPr/>
              <w:t> </w:t>
            </w:r>
          </w:p>
        </w:tc>
      </w:tr>
      <w:tr>
        <w:trPr/>
        <w:tc>
          <w:tcPr>
            <w:tcW w:w="8328" w:type="dxa"/>
            <w:tcBorders/>
            <w:shd w:fill="CCEEFF" w:val="clear"/>
            <w:vAlign w:val="center"/>
          </w:tcPr>
          <w:p>
            <w:pPr>
              <w:pStyle w:val="TableContents"/>
              <w:bidi w:val="0"/>
              <w:spacing w:before="0" w:after="283"/>
              <w:jc w:val="left"/>
              <w:rPr/>
            </w:pPr>
            <w:r>
              <w:rPr/>
              <w:t>Ordinary shares, outstanding prior to the Business Combination</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508,589</w:t>
            </w:r>
          </w:p>
        </w:tc>
        <w:tc>
          <w:tcPr>
            <w:tcW w:w="162" w:type="dxa"/>
            <w:tcBorders/>
            <w:shd w:fill="CCEEFF" w:val="clear"/>
            <w:vAlign w:val="center"/>
          </w:tcPr>
          <w:p>
            <w:pPr>
              <w:pStyle w:val="TableContents"/>
              <w:bidi w:val="0"/>
              <w:spacing w:before="0" w:after="283"/>
              <w:jc w:val="left"/>
              <w:rPr/>
            </w:pPr>
            <w:r>
              <w:rPr/>
              <w:t> </w:t>
            </w:r>
          </w:p>
        </w:tc>
      </w:tr>
      <w:tr>
        <w:trPr/>
        <w:tc>
          <w:tcPr>
            <w:tcW w:w="8328" w:type="dxa"/>
            <w:tcBorders/>
            <w:vAlign w:val="center"/>
          </w:tcPr>
          <w:p>
            <w:pPr>
              <w:pStyle w:val="TableContents"/>
              <w:bidi w:val="0"/>
              <w:spacing w:before="0" w:after="283"/>
              <w:jc w:val="left"/>
              <w:rPr/>
            </w:pPr>
            <w:r>
              <w:rPr/>
              <w:t>Less: Redemption of ordinary shares</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(2,000</w:t>
            </w:r>
          </w:p>
        </w:tc>
        <w:tc>
          <w:tcPr>
            <w:tcW w:w="162" w:type="dxa"/>
            <w:tcBorders/>
            <w:vAlign w:val="center"/>
          </w:tcPr>
          <w:p>
            <w:pPr>
              <w:pStyle w:val="TableContents"/>
              <w:bidi w:val="0"/>
              <w:spacing w:before="0" w:after="283"/>
              <w:ind w:left="0" w:right="0" w:hanging="180"/>
              <w:jc w:val="left"/>
              <w:rPr/>
            </w:pPr>
            <w:r>
              <w:rPr/>
              <w:t>)</w:t>
            </w:r>
          </w:p>
        </w:tc>
      </w:tr>
      <w:tr>
        <w:trPr/>
        <w:tc>
          <w:tcPr>
            <w:tcW w:w="8328" w:type="dxa"/>
            <w:tcBorders/>
            <w:shd w:fill="CCEEFF" w:val="clear"/>
            <w:vAlign w:val="center"/>
          </w:tcPr>
          <w:p>
            <w:pPr>
              <w:pStyle w:val="TableContents"/>
              <w:bidi w:val="0"/>
              <w:spacing w:before="0" w:after="283"/>
              <w:jc w:val="left"/>
              <w:rPr/>
            </w:pPr>
            <w:r>
              <w:rPr/>
              <w:t>Ordinary shares held by ShoulderUp’s officers and directors, the Sponsor and each transferee of founder shares</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6,698,333</w:t>
            </w:r>
          </w:p>
        </w:tc>
        <w:tc>
          <w:tcPr>
            <w:tcW w:w="162" w:type="dxa"/>
            <w:tcBorders/>
            <w:shd w:fill="CCEEFF" w:val="clear"/>
            <w:vAlign w:val="center"/>
          </w:tcPr>
          <w:p>
            <w:pPr>
              <w:pStyle w:val="TableContents"/>
              <w:bidi w:val="0"/>
              <w:spacing w:before="0" w:after="283"/>
              <w:jc w:val="left"/>
              <w:rPr/>
            </w:pPr>
            <w:r>
              <w:rPr/>
              <w:t> </w:t>
            </w:r>
          </w:p>
        </w:tc>
      </w:tr>
      <w:tr>
        <w:trPr/>
        <w:tc>
          <w:tcPr>
            <w:tcW w:w="8328" w:type="dxa"/>
            <w:tcBorders/>
            <w:vAlign w:val="center"/>
          </w:tcPr>
          <w:p>
            <w:pPr>
              <w:pStyle w:val="TableContents"/>
              <w:bidi w:val="0"/>
              <w:spacing w:before="0" w:after="283"/>
              <w:jc w:val="left"/>
              <w:rPr/>
            </w:pPr>
            <w:r>
              <w:rPr/>
              <w:t>Ordinary shares held by non-redemption share holders</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1,345,001</w:t>
            </w:r>
          </w:p>
        </w:tc>
        <w:tc>
          <w:tcPr>
            <w:tcW w:w="162" w:type="dxa"/>
            <w:tcBorders/>
            <w:vAlign w:val="center"/>
          </w:tcPr>
          <w:p>
            <w:pPr>
              <w:pStyle w:val="TableContents"/>
              <w:bidi w:val="0"/>
              <w:spacing w:before="0" w:after="283"/>
              <w:jc w:val="left"/>
              <w:rPr/>
            </w:pPr>
            <w:r>
              <w:rPr/>
              <w:t> </w:t>
            </w:r>
          </w:p>
        </w:tc>
      </w:tr>
      <w:tr>
        <w:trPr/>
        <w:tc>
          <w:tcPr>
            <w:tcW w:w="8328" w:type="dxa"/>
            <w:tcBorders/>
            <w:shd w:fill="CCEEFF" w:val="clear"/>
            <w:vAlign w:val="center"/>
          </w:tcPr>
          <w:p>
            <w:pPr>
              <w:pStyle w:val="TableContents"/>
              <w:bidi w:val="0"/>
              <w:spacing w:before="0" w:after="283"/>
              <w:jc w:val="left"/>
              <w:rPr/>
            </w:pPr>
            <w:r>
              <w:rPr/>
              <w:t>Ordinary shares held by ShoulderUp bridge loan holder</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482,500</w:t>
            </w:r>
          </w:p>
        </w:tc>
        <w:tc>
          <w:tcPr>
            <w:tcW w:w="162" w:type="dxa"/>
            <w:tcBorders/>
            <w:shd w:fill="CCEEFF" w:val="clear"/>
            <w:vAlign w:val="center"/>
          </w:tcPr>
          <w:p>
            <w:pPr>
              <w:pStyle w:val="TableContents"/>
              <w:bidi w:val="0"/>
              <w:spacing w:before="0" w:after="283"/>
              <w:jc w:val="left"/>
              <w:rPr/>
            </w:pPr>
            <w:r>
              <w:rPr/>
              <w:t> </w:t>
            </w:r>
          </w:p>
        </w:tc>
      </w:tr>
      <w:tr>
        <w:trPr/>
        <w:tc>
          <w:tcPr>
            <w:tcW w:w="8328" w:type="dxa"/>
            <w:tcBorders/>
            <w:vAlign w:val="center"/>
          </w:tcPr>
          <w:p>
            <w:pPr>
              <w:pStyle w:val="TableContents"/>
              <w:bidi w:val="0"/>
              <w:spacing w:before="0" w:after="283"/>
              <w:jc w:val="left"/>
              <w:rPr/>
            </w:pPr>
            <w:r>
              <w:rPr/>
              <w:t>Ordinary shares held by DLA Piper, LLP</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150,000</w:t>
            </w:r>
          </w:p>
        </w:tc>
        <w:tc>
          <w:tcPr>
            <w:tcW w:w="162" w:type="dxa"/>
            <w:tcBorders/>
            <w:vAlign w:val="center"/>
          </w:tcPr>
          <w:p>
            <w:pPr>
              <w:pStyle w:val="TableContents"/>
              <w:bidi w:val="0"/>
              <w:spacing w:before="0" w:after="283"/>
              <w:jc w:val="left"/>
              <w:rPr/>
            </w:pPr>
            <w:r>
              <w:rPr/>
              <w:t> </w:t>
            </w:r>
          </w:p>
        </w:tc>
      </w:tr>
      <w:tr>
        <w:trPr/>
        <w:tc>
          <w:tcPr>
            <w:tcW w:w="8328" w:type="dxa"/>
            <w:tcBorders/>
            <w:shd w:fill="CCEEFF" w:val="clear"/>
            <w:vAlign w:val="center"/>
          </w:tcPr>
          <w:p>
            <w:pPr>
              <w:pStyle w:val="TableContents"/>
              <w:bidi w:val="0"/>
              <w:spacing w:before="0" w:after="283"/>
              <w:jc w:val="left"/>
              <w:rPr/>
            </w:pPr>
            <w:r>
              <w:rPr/>
              <w:t>Common Stock issued to holders of SEE ID Inc.</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12,210,718</w:t>
            </w:r>
          </w:p>
        </w:tc>
        <w:tc>
          <w:tcPr>
            <w:tcW w:w="162" w:type="dxa"/>
            <w:tcBorders/>
            <w:shd w:fill="CCEEFF" w:val="clear"/>
            <w:vAlign w:val="center"/>
          </w:tcPr>
          <w:p>
            <w:pPr>
              <w:pStyle w:val="TableContents"/>
              <w:bidi w:val="0"/>
              <w:spacing w:before="0" w:after="283"/>
              <w:jc w:val="left"/>
              <w:rPr/>
            </w:pPr>
            <w:r>
              <w:rPr/>
              <w:t> </w:t>
            </w:r>
          </w:p>
        </w:tc>
      </w:tr>
      <w:tr>
        <w:trPr/>
        <w:tc>
          <w:tcPr>
            <w:tcW w:w="8328" w:type="dxa"/>
            <w:tcBorders/>
            <w:vAlign w:val="center"/>
          </w:tcPr>
          <w:p>
            <w:pPr>
              <w:pStyle w:val="TableContents"/>
              <w:bidi w:val="0"/>
              <w:spacing w:before="0" w:after="283"/>
              <w:jc w:val="left"/>
              <w:rPr/>
            </w:pPr>
            <w:r>
              <w:rPr/>
              <w:t>Common Stock issued to SEE ID SAFE note holders</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2,909,057</w:t>
            </w:r>
          </w:p>
        </w:tc>
        <w:tc>
          <w:tcPr>
            <w:tcW w:w="162" w:type="dxa"/>
            <w:tcBorders/>
            <w:vAlign w:val="center"/>
          </w:tcPr>
          <w:p>
            <w:pPr>
              <w:pStyle w:val="TableContents"/>
              <w:bidi w:val="0"/>
              <w:spacing w:before="0" w:after="283"/>
              <w:jc w:val="left"/>
              <w:rPr/>
            </w:pPr>
            <w:r>
              <w:rPr/>
              <w:t> </w:t>
            </w:r>
          </w:p>
        </w:tc>
      </w:tr>
      <w:tr>
        <w:trPr/>
        <w:tc>
          <w:tcPr>
            <w:tcW w:w="8328" w:type="dxa"/>
            <w:tcBorders/>
            <w:shd w:fill="CCEEFF" w:val="clear"/>
            <w:vAlign w:val="center"/>
          </w:tcPr>
          <w:p>
            <w:pPr>
              <w:pStyle w:val="TableContents"/>
              <w:bidi w:val="0"/>
              <w:spacing w:before="0" w:after="283"/>
              <w:jc w:val="left"/>
              <w:rPr/>
            </w:pPr>
            <w:r>
              <w:rPr/>
              <w:t>Common Stock issued to StartUpNV</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11,205</w:t>
            </w:r>
          </w:p>
        </w:tc>
        <w:tc>
          <w:tcPr>
            <w:tcW w:w="162" w:type="dxa"/>
            <w:tcBorders/>
            <w:shd w:fill="CCEEFF" w:val="clear"/>
            <w:vAlign w:val="center"/>
          </w:tcPr>
          <w:p>
            <w:pPr>
              <w:pStyle w:val="TableContents"/>
              <w:bidi w:val="0"/>
              <w:spacing w:before="0" w:after="283"/>
              <w:jc w:val="left"/>
              <w:rPr/>
            </w:pPr>
            <w:r>
              <w:rPr/>
              <w:t> </w:t>
            </w:r>
          </w:p>
        </w:tc>
      </w:tr>
      <w:tr>
        <w:trPr/>
        <w:tc>
          <w:tcPr>
            <w:tcW w:w="8328" w:type="dxa"/>
            <w:tcBorders/>
            <w:vAlign w:val="center"/>
          </w:tcPr>
          <w:p>
            <w:pPr>
              <w:pStyle w:val="TableContents"/>
              <w:bidi w:val="0"/>
              <w:spacing w:before="0" w:after="283"/>
              <w:jc w:val="left"/>
              <w:rPr/>
            </w:pPr>
            <w:r>
              <w:rPr/>
              <w:t>Common Stock issued to PIPE investors</w:t>
            </w:r>
          </w:p>
        </w:tc>
        <w:tc>
          <w:tcPr>
            <w:tcW w:w="90" w:type="dxa"/>
            <w:tcBorders/>
            <w:vAlign w:val="center"/>
          </w:tcPr>
          <w:p>
            <w:pPr>
              <w:pStyle w:val="TableContents"/>
              <w:bidi w:val="0"/>
              <w:spacing w:before="0" w:after="283"/>
              <w:jc w:val="left"/>
              <w:rPr/>
            </w:pPr>
            <w:r>
              <w:rPr/>
              <w:t> </w:t>
            </w:r>
          </w:p>
        </w:tc>
        <w:tc>
          <w:tcPr>
            <w:tcW w:w="1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tcMar>
              <w:bottom w:w="28" w:type="dxa"/>
            </w:tcMar>
            <w:vAlign w:val="center"/>
          </w:tcPr>
          <w:p>
            <w:pPr>
              <w:pStyle w:val="TableContents"/>
              <w:bidi w:val="0"/>
              <w:spacing w:before="0" w:after="283"/>
              <w:jc w:val="right"/>
              <w:rPr/>
            </w:pPr>
            <w:r>
              <w:rPr/>
              <w:t>3,323,536</w:t>
            </w:r>
          </w:p>
        </w:tc>
        <w:tc>
          <w:tcPr>
            <w:tcW w:w="162" w:type="dxa"/>
            <w:tcBorders/>
            <w:vAlign w:val="center"/>
          </w:tcPr>
          <w:p>
            <w:pPr>
              <w:pStyle w:val="TableContents"/>
              <w:bidi w:val="0"/>
              <w:spacing w:before="0" w:after="283"/>
              <w:jc w:val="left"/>
              <w:rPr/>
            </w:pPr>
            <w:r>
              <w:rPr/>
              <w:t> </w:t>
            </w:r>
          </w:p>
        </w:tc>
      </w:tr>
      <w:tr>
        <w:trPr/>
        <w:tc>
          <w:tcPr>
            <w:tcW w:w="8328" w:type="dxa"/>
            <w:tcBorders/>
            <w:shd w:fill="CCEEFF" w:val="clear"/>
            <w:vAlign w:val="center"/>
          </w:tcPr>
          <w:p>
            <w:pPr>
              <w:pStyle w:val="TableContents"/>
              <w:bidi w:val="0"/>
              <w:spacing w:before="0" w:after="283"/>
              <w:jc w:val="left"/>
              <w:rPr/>
            </w:pPr>
            <w:r>
              <w:rPr/>
              <w:t>Common Stock Upon the Business Combination</w:t>
            </w:r>
          </w:p>
        </w:tc>
        <w:tc>
          <w:tcPr>
            <w:tcW w:w="9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double" w:sz="10" w:space="0" w:color="000000"/>
            </w:tcBorders>
            <w:shd w:fill="CCEEFF" w:val="clear"/>
            <w:tcMar>
              <w:bottom w:w="28" w:type="dxa"/>
            </w:tcMar>
            <w:vAlign w:val="center"/>
          </w:tcPr>
          <w:p>
            <w:pPr>
              <w:pStyle w:val="TableContents"/>
              <w:bidi w:val="0"/>
              <w:spacing w:before="0" w:after="283"/>
              <w:jc w:val="right"/>
              <w:rPr/>
            </w:pPr>
            <w:r>
              <w:rPr/>
              <w:t>27,636,939</w:t>
            </w:r>
          </w:p>
        </w:tc>
        <w:tc>
          <w:tcPr>
            <w:tcW w:w="1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Company incurred $2,726,183 in transaction costs in connection with the Business Combination, which was determined not to be a capital-raising transaction for the Legacy Company. The $2,726,183 consists of the following:</w:t>
      </w:r>
    </w:p>
    <w:p>
      <w:pPr>
        <w:pStyle w:val="TextBody"/>
        <w:bidi w:val="0"/>
        <w:spacing w:before="0" w:after="0"/>
        <w:ind w:left="0" w:right="0" w:hanging="0"/>
        <w:jc w:val="left"/>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68"/>
        <w:gridCol w:w="200"/>
        <w:gridCol w:w="9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$1,003,500 in assumed expenses from ShoulderUp for financial advisory services provided by Cohen Capital Markets;</w:t>
            </w:r>
          </w:p>
        </w:tc>
      </w:tr>
    </w:tbl>
    <w:p>
      <w:pPr>
        <w:pStyle w:val="TextBody"/>
        <w:bidi w:val="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68"/>
        <w:gridCol w:w="200"/>
        <w:gridCol w:w="5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$156,870 for financial advisory services provided by a financial advisor;</w:t>
            </w:r>
          </w:p>
        </w:tc>
      </w:tr>
    </w:tbl>
    <w:p>
      <w:pPr>
        <w:pStyle w:val="TextBody"/>
        <w:bidi w:val="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68"/>
        <w:gridCol w:w="20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$295,000 in registration fees paid to Nasdaq Corporate Solutions, LLC;</w:t>
            </w:r>
          </w:p>
        </w:tc>
      </w:tr>
    </w:tbl>
    <w:p>
      <w:pPr>
        <w:pStyle w:val="TextBody"/>
        <w:bidi w:val="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68"/>
        <w:gridCol w:w="200"/>
        <w:gridCol w:w="4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$271,079 paid to Continental Stock Transfer &amp; Trust Co.;</w:t>
            </w:r>
          </w:p>
        </w:tc>
      </w:tr>
    </w:tbl>
    <w:p>
      <w:pPr>
        <w:pStyle w:val="TextBody"/>
        <w:bidi w:val="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68"/>
        <w:gridCol w:w="200"/>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$126,812 paid to Edgar Agents, LLC; and</w:t>
            </w:r>
          </w:p>
        </w:tc>
      </w:tr>
    </w:tbl>
    <w:p>
      <w:pPr>
        <w:pStyle w:val="TextBody"/>
        <w:bidi w:val="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68"/>
        <w:gridCol w:w="200"/>
        <w:gridCol w:w="7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$872,922 in bonus expenses related to the successful closing of the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Business Combination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6875"/>
        <w:gridCol w:w="90"/>
        <w:gridCol w:w="220"/>
        <w:gridCol w:w="1465"/>
        <w:gridCol w:w="170"/>
      </w:tblGrid>
      <w:tr>
        <w:trPr/>
        <w:tc>
          <w:tcPr>
            <w:tcW w:w="6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Recapitalization</w:t>
            </w:r>
          </w:p>
        </w:tc>
        <w:tc>
          <w:tcPr>
            <w:tcW w:w="17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i/>
              </w:rPr>
            </w:pPr>
            <w:r>
              <w:rPr>
                <w:i/>
              </w:rPr>
              <w:t>Closing proceeds</w:t>
            </w:r>
          </w:p>
        </w:tc>
        <w:tc>
          <w:tcPr>
            <w:tcW w:w="9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Proceeds from Trust account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465" w:type="dxa"/>
            <w:tcBorders/>
            <w:shd w:fill="CCEEFF" w:val="clear"/>
            <w:vAlign w:val="center"/>
          </w:tcPr>
          <w:p>
            <w:pPr>
              <w:pStyle w:val="TableContents"/>
              <w:bidi w:val="0"/>
              <w:spacing w:before="0" w:after="283"/>
              <w:jc w:val="right"/>
              <w:rPr/>
            </w:pPr>
            <w:r>
              <w:rPr/>
              <w:t>5,577,304</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Proceeds from PIPE investors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right"/>
              <w:rPr/>
            </w:pPr>
            <w:r>
              <w:rPr/>
              <w:t>10,837,643</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Proceeds from legacy ShoulderUp bank accounts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74,501</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i/>
              </w:rPr>
            </w:pPr>
            <w:r>
              <w:rPr>
                <w:i/>
              </w:rPr>
              <w:t>Closing disbursements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Less: Payment to purchase founder shares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w:t>
            </w:r>
          </w:p>
        </w:tc>
        <w:tc>
          <w:tcPr>
            <w:tcW w:w="170" w:type="dxa"/>
            <w:tcBorders/>
            <w:shd w:fill="CCEEFF" w:val="clear"/>
            <w:vAlign w:val="center"/>
          </w:tcPr>
          <w:p>
            <w:pPr>
              <w:pStyle w:val="TableContents"/>
              <w:bidi w:val="0"/>
              <w:spacing w:before="0" w:after="283"/>
              <w:jc w:val="left"/>
              <w:rPr/>
            </w:pPr>
            <w:r>
              <w:rPr/>
              <w:t>)</w:t>
            </w:r>
          </w:p>
        </w:tc>
      </w:tr>
      <w:tr>
        <w:trPr/>
        <w:tc>
          <w:tcPr>
            <w:tcW w:w="6875" w:type="dxa"/>
            <w:tcBorders/>
            <w:vAlign w:val="center"/>
          </w:tcPr>
          <w:p>
            <w:pPr>
              <w:pStyle w:val="TableContents"/>
              <w:bidi w:val="0"/>
              <w:spacing w:before="0" w:after="283"/>
              <w:jc w:val="left"/>
              <w:rPr>
                <w:b/>
              </w:rPr>
            </w:pPr>
            <w:r>
              <w:rPr>
                <w:b/>
              </w:rPr>
              <w:t>Net cash proceeds from the Business Combination</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w:t>
            </w:r>
          </w:p>
        </w:tc>
        <w:tc>
          <w:tcPr>
            <w:tcW w:w="1465" w:type="dxa"/>
            <w:tcBorders>
              <w:bottom w:val="single" w:sz="12" w:space="0" w:color="000000"/>
            </w:tcBorders>
            <w:tcMar>
              <w:bottom w:w="28" w:type="dxa"/>
            </w:tcMar>
            <w:vAlign w:val="center"/>
          </w:tcPr>
          <w:p>
            <w:pPr>
              <w:pStyle w:val="TableContents"/>
              <w:bidi w:val="0"/>
              <w:spacing w:before="0" w:after="283"/>
              <w:jc w:val="right"/>
              <w:rPr/>
            </w:pPr>
            <w:r>
              <w:rPr/>
              <w:t>11,489,448</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i/>
              </w:rPr>
            </w:pPr>
            <w:r>
              <w:rPr>
                <w:i/>
              </w:rPr>
              <w:t>Noncash activities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Conversion of SAFE notes to equity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right"/>
              <w:rPr/>
            </w:pPr>
            <w:r>
              <w:rPr/>
              <w:t>40,726,793</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Conversion of short-term debt to equity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8,597,749</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Transaction costs paid in shares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right"/>
              <w:rPr/>
            </w:pPr>
            <w:r>
              <w:rPr/>
              <w:t>156,870</w:t>
            </w:r>
          </w:p>
        </w:tc>
        <w:tc>
          <w:tcPr>
            <w:tcW w:w="17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Less: Accrued taxes assumed from ShoulderUp</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(3,913,668</w:t>
            </w:r>
          </w:p>
        </w:tc>
        <w:tc>
          <w:tcPr>
            <w:tcW w:w="170" w:type="dxa"/>
            <w:tcBorders/>
            <w:shd w:fill="CCEEFF" w:val="clear"/>
            <w:vAlign w:val="center"/>
          </w:tcPr>
          <w:p>
            <w:pPr>
              <w:pStyle w:val="TableContents"/>
              <w:bidi w:val="0"/>
              <w:spacing w:before="0" w:after="283"/>
              <w:jc w:val="left"/>
              <w:rPr/>
            </w:pPr>
            <w:r>
              <w:rPr/>
              <w:t>)</w:t>
            </w:r>
          </w:p>
        </w:tc>
      </w:tr>
      <w:tr>
        <w:trPr/>
        <w:tc>
          <w:tcPr>
            <w:tcW w:w="6875" w:type="dxa"/>
            <w:tcBorders/>
            <w:vAlign w:val="center"/>
          </w:tcPr>
          <w:p>
            <w:pPr>
              <w:pStyle w:val="TableContents"/>
              <w:bidi w:val="0"/>
              <w:spacing w:before="0" w:after="283"/>
              <w:jc w:val="left"/>
              <w:rPr/>
            </w:pPr>
            <w:r>
              <w:rPr/>
              <w:t>Less: Short-term debt assumed from ShoulderUp</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tcMar>
              <w:bottom w:w="28" w:type="dxa"/>
            </w:tcMar>
            <w:vAlign w:val="center"/>
          </w:tcPr>
          <w:p>
            <w:pPr>
              <w:pStyle w:val="TableContents"/>
              <w:bidi w:val="0"/>
              <w:spacing w:before="0" w:after="283"/>
              <w:jc w:val="right"/>
              <w:rPr/>
            </w:pPr>
            <w:r>
              <w:rPr/>
              <w:t>(900,000</w:t>
            </w:r>
          </w:p>
        </w:tc>
        <w:tc>
          <w:tcPr>
            <w:tcW w:w="170" w:type="dxa"/>
            <w:tcBorders/>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Net equity impact of the Business Combination</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5" w:type="dxa"/>
            <w:tcBorders>
              <w:bottom w:val="double" w:sz="10" w:space="0" w:color="000000"/>
            </w:tcBorders>
            <w:shd w:fill="CCEEFF" w:val="clear"/>
            <w:tcMar>
              <w:bottom w:w="28" w:type="dxa"/>
            </w:tcMar>
            <w:vAlign w:val="center"/>
          </w:tcPr>
          <w:p>
            <w:pPr>
              <w:pStyle w:val="TableContents"/>
              <w:bidi w:val="0"/>
              <w:spacing w:before="0" w:after="283"/>
              <w:jc w:val="right"/>
              <w:rPr/>
            </w:pPr>
            <w:r>
              <w:rPr/>
              <w:t>56,157,192</w:t>
            </w:r>
          </w:p>
        </w:tc>
        <w:tc>
          <w:tcPr>
            <w:tcW w:w="170" w:type="dxa"/>
            <w:tcBorders/>
            <w:shd w:fill="CCEEFF" w:val="clear"/>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Par value of common stock issued</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65" w:type="dxa"/>
            <w:tcBorders>
              <w:bottom w:val="single" w:sz="12" w:space="0" w:color="000000"/>
            </w:tcBorders>
            <w:tcMar>
              <w:bottom w:w="28" w:type="dxa"/>
            </w:tcMar>
            <w:vAlign w:val="center"/>
          </w:tcPr>
          <w:p>
            <w:pPr>
              <w:pStyle w:val="TableContents"/>
              <w:bidi w:val="0"/>
              <w:spacing w:before="0" w:after="283"/>
              <w:jc w:val="right"/>
              <w:rPr/>
            </w:pPr>
            <w:r>
              <w:rPr/>
              <w:t>(1,543</w:t>
            </w:r>
          </w:p>
        </w:tc>
        <w:tc>
          <w:tcPr>
            <w:tcW w:w="170" w:type="dxa"/>
            <w:tcBorders/>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Total Impact of Business Combination on additional paid-in capital</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5" w:type="dxa"/>
            <w:tcBorders>
              <w:bottom w:val="double" w:sz="10" w:space="0" w:color="000000"/>
            </w:tcBorders>
            <w:shd w:fill="CCEEFF" w:val="clear"/>
            <w:tcMar>
              <w:bottom w:w="28" w:type="dxa"/>
            </w:tcMar>
            <w:vAlign w:val="center"/>
          </w:tcPr>
          <w:p>
            <w:pPr>
              <w:pStyle w:val="TableContents"/>
              <w:bidi w:val="0"/>
              <w:spacing w:before="0" w:after="283"/>
              <w:jc w:val="right"/>
              <w:rPr/>
            </w:pPr>
            <w:r>
              <w:rPr/>
              <w:t>56,155,649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Loan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transaction: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92"/>
        <w:gridCol w:w="90"/>
        <w:gridCol w:w="1337"/>
        <w:gridCol w:w="90"/>
        <w:gridCol w:w="170"/>
        <w:gridCol w:w="1010"/>
        <w:gridCol w:w="90"/>
        <w:gridCol w:w="90"/>
        <w:gridCol w:w="275"/>
        <w:gridCol w:w="1346"/>
        <w:gridCol w:w="90"/>
        <w:gridCol w:w="90"/>
        <w:gridCol w:w="252"/>
        <w:gridCol w:w="1344"/>
        <w:gridCol w:w="125"/>
        <w:gridCol w:w="90"/>
        <w:gridCol w:w="170"/>
        <w:gridCol w:w="1015"/>
        <w:gridCol w:w="90"/>
        <w:gridCol w:w="90"/>
        <w:gridCol w:w="90"/>
        <w:gridCol w:w="830"/>
        <w:gridCol w:w="139"/>
      </w:tblGrid>
      <w:tr>
        <w:trPr/>
        <w:tc>
          <w:tcPr>
            <w:tcW w:w="1292" w:type="dxa"/>
            <w:tcBorders>
              <w:bottom w:val="single" w:sz="12" w:space="0" w:color="000000"/>
            </w:tcBorders>
            <w:vAlign w:val="center"/>
          </w:tcPr>
          <w:p>
            <w:pPr>
              <w:pStyle w:val="TableContents"/>
              <w:bidi w:val="0"/>
              <w:spacing w:before="0" w:after="283"/>
              <w:jc w:val="left"/>
              <w:rPr>
                <w:b/>
              </w:rPr>
            </w:pPr>
            <w:r>
              <w:rPr>
                <w:b/>
              </w:rPr>
              <w:t>Bridge Loans</w:t>
            </w:r>
          </w:p>
        </w:tc>
        <w:tc>
          <w:tcPr>
            <w:tcW w:w="90" w:type="dxa"/>
            <w:tcBorders/>
            <w:tcMar>
              <w:bottom w:w="0" w:type="dxa"/>
            </w:tcMar>
            <w:vAlign w:val="center"/>
          </w:tcPr>
          <w:p>
            <w:pPr>
              <w:pStyle w:val="TableContents"/>
              <w:bidi w:val="0"/>
              <w:spacing w:before="0" w:after="283"/>
              <w:jc w:val="left"/>
              <w:rPr/>
            </w:pPr>
            <w:r>
              <w:rPr/>
              <w:t> </w:t>
            </w:r>
          </w:p>
        </w:tc>
        <w:tc>
          <w:tcPr>
            <w:tcW w:w="1337" w:type="dxa"/>
            <w:tcBorders>
              <w:bottom w:val="single" w:sz="12" w:space="0" w:color="000000"/>
            </w:tcBorders>
            <w:vAlign w:val="center"/>
          </w:tcPr>
          <w:p>
            <w:pPr>
              <w:pStyle w:val="TableContents"/>
              <w:bidi w:val="0"/>
              <w:spacing w:before="0" w:after="283"/>
              <w:jc w:val="center"/>
              <w:rPr>
                <w:b/>
              </w:rPr>
            </w:pPr>
            <w:r>
              <w:rPr>
                <w:b/>
              </w:rPr>
              <w:t>Effective Date</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1" w:type="dxa"/>
            <w:gridSpan w:val="2"/>
            <w:tcBorders>
              <w:bottom w:val="single" w:sz="12" w:space="0" w:color="000000"/>
            </w:tcBorders>
            <w:vAlign w:val="center"/>
          </w:tcPr>
          <w:p>
            <w:pPr>
              <w:pStyle w:val="TableContents"/>
              <w:bidi w:val="0"/>
              <w:spacing w:before="0" w:after="283"/>
              <w:jc w:val="center"/>
              <w:rPr>
                <w:b/>
              </w:rPr>
            </w:pPr>
            <w:r>
              <w:rPr>
                <w:b/>
              </w:rPr>
              <w:t>Interest at closing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96" w:type="dxa"/>
            <w:gridSpan w:val="2"/>
            <w:tcBorders>
              <w:bottom w:val="single" w:sz="12" w:space="0" w:color="000000"/>
            </w:tcBorders>
            <w:vAlign w:val="center"/>
          </w:tcPr>
          <w:p>
            <w:pPr>
              <w:pStyle w:val="TableContents"/>
              <w:bidi w:val="0"/>
              <w:spacing w:before="0" w:after="283"/>
              <w:jc w:val="center"/>
              <w:rPr>
                <w:b/>
              </w:rPr>
            </w:pPr>
            <w:r>
              <w:rPr>
                <w:b/>
              </w:rPr>
              <w:t>Payback in Cash</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5" w:type="dxa"/>
            <w:gridSpan w:val="2"/>
            <w:tcBorders>
              <w:bottom w:val="single" w:sz="12" w:space="0" w:color="000000"/>
            </w:tcBorders>
            <w:vAlign w:val="center"/>
          </w:tcPr>
          <w:p>
            <w:pPr>
              <w:pStyle w:val="TableContents"/>
              <w:bidi w:val="0"/>
              <w:spacing w:before="0" w:after="283"/>
              <w:jc w:val="center"/>
              <w:rPr>
                <w:b/>
              </w:rPr>
            </w:pPr>
            <w:r>
              <w:rPr>
                <w:b/>
              </w:rPr>
              <w:t>Payback in</w:t>
              <w:br/>
              <w:t>shares at</w:t>
              <w:br/>
              <w:t>$4/share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Shares</w:t>
            </w:r>
          </w:p>
        </w:tc>
        <w:tc>
          <w:tcPr>
            <w:tcW w:w="139" w:type="dxa"/>
            <w:tcBorders/>
            <w:tcMar>
              <w:bottom w:w="0" w:type="dxa"/>
            </w:tcMar>
            <w:vAlign w:val="center"/>
          </w:tcPr>
          <w:p>
            <w:pPr>
              <w:pStyle w:val="TableContents"/>
              <w:bidi w:val="0"/>
              <w:spacing w:before="0" w:after="283"/>
              <w:jc w:val="left"/>
              <w:rPr/>
            </w:pPr>
            <w:r>
              <w:rPr/>
              <w:t> </w:t>
            </w:r>
          </w:p>
        </w:tc>
      </w:tr>
      <w:tr>
        <w:trPr/>
        <w:tc>
          <w:tcPr>
            <w:tcW w:w="1292" w:type="dxa"/>
            <w:tcBorders/>
            <w:shd w:fill="CCEEFF" w:val="clear"/>
            <w:tcMar>
              <w:bottom w:w="0" w:type="dxa"/>
            </w:tcMar>
            <w:vAlign w:val="center"/>
          </w:tcPr>
          <w:p>
            <w:pPr>
              <w:pStyle w:val="TableContents"/>
              <w:bidi w:val="0"/>
              <w:spacing w:before="0" w:after="283"/>
              <w:jc w:val="left"/>
              <w:rPr/>
            </w:pPr>
            <w:r>
              <w:rPr/>
              <w:t>Bridge loan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center"/>
              <w:rPr/>
            </w:pPr>
            <w:r>
              <w:rPr/>
              <w:t>1/29/2025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w:t>
            </w:r>
          </w:p>
        </w:tc>
        <w:tc>
          <w:tcPr>
            <w:tcW w:w="1346" w:type="dxa"/>
            <w:tcBorders/>
            <w:shd w:fill="CCEEFF" w:val="clear"/>
            <w:tcMar>
              <w:bottom w:w="0" w:type="dxa"/>
            </w:tcMar>
            <w:vAlign w:val="center"/>
          </w:tcPr>
          <w:p>
            <w:pPr>
              <w:pStyle w:val="TableContents"/>
              <w:bidi w:val="0"/>
              <w:spacing w:before="0" w:after="283"/>
              <w:jc w:val="right"/>
              <w:rPr/>
            </w:pPr>
            <w:r>
              <w:rPr/>
              <w:t>150,000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(193,500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5" w:type="dxa"/>
            <w:tcBorders/>
            <w:shd w:fill="CCEEFF" w:val="clear"/>
            <w:tcMar>
              <w:bottom w:w="0" w:type="dxa"/>
            </w:tcMar>
            <w:vAlign w:val="center"/>
          </w:tcPr>
          <w:p>
            <w:pPr>
              <w:pStyle w:val="TableContents"/>
              <w:bidi w:val="0"/>
              <w:spacing w:before="0" w:after="283"/>
              <w:jc w:val="right"/>
              <w:rPr/>
            </w:pPr>
            <w:r>
              <w:rPr/>
              <w:t>1,456,500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364,125</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292" w:type="dxa"/>
            <w:tcBorders/>
            <w:tcMar>
              <w:bottom w:w="0" w:type="dxa"/>
            </w:tcMar>
            <w:vAlign w:val="center"/>
          </w:tcPr>
          <w:p>
            <w:pPr>
              <w:pStyle w:val="TableContents"/>
              <w:bidi w:val="0"/>
              <w:spacing w:before="0" w:after="283"/>
              <w:jc w:val="left"/>
              <w:rPr/>
            </w:pPr>
            <w:r>
              <w:rPr/>
              <w:t>Bridge loan 2*</w:t>
            </w:r>
          </w:p>
        </w:tc>
        <w:tc>
          <w:tcPr>
            <w:tcW w:w="90" w:type="dxa"/>
            <w:tcBorders/>
            <w:tcMar>
              <w:bottom w:w="0" w:type="dxa"/>
            </w:tcMar>
            <w:vAlign w:val="center"/>
          </w:tcPr>
          <w:p>
            <w:pPr>
              <w:pStyle w:val="TableContents"/>
              <w:bidi w:val="0"/>
              <w:spacing w:before="0" w:after="283"/>
              <w:jc w:val="left"/>
              <w:rPr/>
            </w:pPr>
            <w:r>
              <w:rPr/>
              <w:t> </w:t>
            </w:r>
          </w:p>
        </w:tc>
        <w:tc>
          <w:tcPr>
            <w:tcW w:w="1337" w:type="dxa"/>
            <w:tcBorders/>
            <w:tcMar>
              <w:bottom w:w="0" w:type="dxa"/>
            </w:tcMar>
            <w:vAlign w:val="center"/>
          </w:tcPr>
          <w:p>
            <w:pPr>
              <w:pStyle w:val="TableContents"/>
              <w:bidi w:val="0"/>
              <w:spacing w:before="0" w:after="283"/>
              <w:jc w:val="center"/>
              <w:rPr/>
            </w:pPr>
            <w:r>
              <w:rPr/>
              <w:t>4/9/2025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500,000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44" w:type="dxa"/>
            <w:tcBorders/>
            <w:tcMar>
              <w:bottom w:w="0" w:type="dxa"/>
            </w:tcMar>
            <w:vAlign w:val="center"/>
          </w:tcPr>
          <w:p>
            <w:pPr>
              <w:pStyle w:val="TableContents"/>
              <w:bidi w:val="0"/>
              <w:spacing w:before="0" w:after="283"/>
              <w:jc w:val="right"/>
              <w:rPr/>
            </w:pPr>
            <w:r>
              <w:rPr/>
              <w:t>(50,000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283"/>
              <w:jc w:val="right"/>
              <w:rPr/>
            </w:pPr>
            <w:r>
              <w:rPr/>
              <w:t>500,000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125,000</w:t>
            </w:r>
          </w:p>
        </w:tc>
        <w:tc>
          <w:tcPr>
            <w:tcW w:w="139" w:type="dxa"/>
            <w:tcBorders/>
            <w:tcMar>
              <w:bottom w:w="0" w:type="dxa"/>
            </w:tcMar>
            <w:vAlign w:val="center"/>
          </w:tcPr>
          <w:p>
            <w:pPr>
              <w:pStyle w:val="TableContents"/>
              <w:bidi w:val="0"/>
              <w:spacing w:before="0" w:after="283"/>
              <w:jc w:val="left"/>
              <w:rPr/>
            </w:pPr>
            <w:r>
              <w:rPr/>
              <w:t> </w:t>
            </w:r>
          </w:p>
        </w:tc>
      </w:tr>
      <w:tr>
        <w:trPr/>
        <w:tc>
          <w:tcPr>
            <w:tcW w:w="1292" w:type="dxa"/>
            <w:tcBorders/>
            <w:shd w:fill="CCEEFF" w:val="clear"/>
            <w:tcMar>
              <w:bottom w:w="0" w:type="dxa"/>
            </w:tcMar>
            <w:vAlign w:val="center"/>
          </w:tcPr>
          <w:p>
            <w:pPr>
              <w:pStyle w:val="TableContents"/>
              <w:bidi w:val="0"/>
              <w:spacing w:before="0" w:after="283"/>
              <w:jc w:val="left"/>
              <w:rPr/>
            </w:pPr>
            <w:r>
              <w:rPr/>
              <w:t>Bridge loan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center"/>
              <w:rPr/>
            </w:pPr>
            <w:r>
              <w:rPr/>
              <w:t>5/7/2025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1344" w:type="dxa"/>
            <w:tcBorders/>
            <w:shd w:fill="CCEEFF" w:val="clear"/>
            <w:tcMar>
              <w:bottom w:w="0" w:type="dxa"/>
            </w:tcMar>
            <w:vAlign w:val="center"/>
          </w:tcPr>
          <w:p>
            <w:pPr>
              <w:pStyle w:val="TableContents"/>
              <w:bidi w:val="0"/>
              <w:spacing w:before="0" w:after="283"/>
              <w:jc w:val="right"/>
              <w:rPr/>
            </w:pPr>
            <w:r>
              <w:rPr/>
              <w:t>(50,000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pPr>
            <w:r>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125,000</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292" w:type="dxa"/>
            <w:tcBorders/>
            <w:tcMar>
              <w:bottom w:w="0" w:type="dxa"/>
            </w:tcMar>
            <w:vAlign w:val="center"/>
          </w:tcPr>
          <w:p>
            <w:pPr>
              <w:pStyle w:val="TableContents"/>
              <w:bidi w:val="0"/>
              <w:spacing w:before="0" w:after="283"/>
              <w:jc w:val="left"/>
              <w:rPr/>
            </w:pPr>
            <w:r>
              <w:rPr/>
              <w:t>Bridge loan 4</w:t>
            </w:r>
          </w:p>
        </w:tc>
        <w:tc>
          <w:tcPr>
            <w:tcW w:w="90" w:type="dxa"/>
            <w:tcBorders/>
            <w:tcMar>
              <w:bottom w:w="0" w:type="dxa"/>
            </w:tcMar>
            <w:vAlign w:val="center"/>
          </w:tcPr>
          <w:p>
            <w:pPr>
              <w:pStyle w:val="TableContents"/>
              <w:bidi w:val="0"/>
              <w:spacing w:before="0" w:after="283"/>
              <w:jc w:val="left"/>
              <w:rPr/>
            </w:pPr>
            <w:r>
              <w:rPr/>
              <w:t> </w:t>
            </w:r>
          </w:p>
        </w:tc>
        <w:tc>
          <w:tcPr>
            <w:tcW w:w="1337" w:type="dxa"/>
            <w:tcBorders/>
            <w:tcMar>
              <w:bottom w:w="0" w:type="dxa"/>
            </w:tcMar>
            <w:vAlign w:val="center"/>
          </w:tcPr>
          <w:p>
            <w:pPr>
              <w:pStyle w:val="TableContents"/>
              <w:bidi w:val="0"/>
              <w:spacing w:before="0" w:after="283"/>
              <w:jc w:val="center"/>
              <w:rPr/>
            </w:pPr>
            <w:r>
              <w:rPr/>
              <w:t>3/29/2025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right"/>
              <w:rPr/>
            </w:pPr>
            <w:r>
              <w:rPr/>
              <w:t>10,000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1344" w:type="dxa"/>
            <w:tcBorders/>
            <w:tcMar>
              <w:bottom w:w="0" w:type="dxa"/>
            </w:tcMar>
            <w:vAlign w:val="center"/>
          </w:tcPr>
          <w:p>
            <w:pPr>
              <w:pStyle w:val="TableContents"/>
              <w:bidi w:val="0"/>
              <w:spacing w:before="0" w:after="283"/>
              <w:jc w:val="right"/>
              <w:rPr/>
            </w:pPr>
            <w:r>
              <w:rPr/>
              <w:t>(110,000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5"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right"/>
              <w:rPr/>
            </w:pPr>
            <w:r>
              <w:rPr/>
              <w:t>-</w:t>
            </w:r>
          </w:p>
        </w:tc>
        <w:tc>
          <w:tcPr>
            <w:tcW w:w="139" w:type="dxa"/>
            <w:tcBorders/>
            <w:tcMar>
              <w:bottom w:w="0" w:type="dxa"/>
            </w:tcMar>
            <w:vAlign w:val="center"/>
          </w:tcPr>
          <w:p>
            <w:pPr>
              <w:pStyle w:val="TableContents"/>
              <w:bidi w:val="0"/>
              <w:spacing w:before="0" w:after="283"/>
              <w:jc w:val="left"/>
              <w:rPr/>
            </w:pPr>
            <w:r>
              <w:rPr/>
              <w:t> </w:t>
            </w:r>
          </w:p>
        </w:tc>
      </w:tr>
      <w:tr>
        <w:trPr/>
        <w:tc>
          <w:tcPr>
            <w:tcW w:w="1292" w:type="dxa"/>
            <w:tcBorders/>
            <w:shd w:fill="CCEEFF" w:val="clear"/>
            <w:tcMar>
              <w:bottom w:w="0" w:type="dxa"/>
            </w:tcMar>
            <w:vAlign w:val="center"/>
          </w:tcPr>
          <w:p>
            <w:pPr>
              <w:pStyle w:val="TableContents"/>
              <w:bidi w:val="0"/>
              <w:spacing w:before="0" w:after="283"/>
              <w:jc w:val="left"/>
              <w:rPr/>
            </w:pPr>
            <w:r>
              <w:rPr/>
              <w:t>Bridge loan 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center"/>
              <w:rPr/>
            </w:pPr>
            <w:r>
              <w:rPr/>
              <w:t>6/5/2025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5" w:type="dxa"/>
            <w:tcBorders>
              <w:bottom w:val="single" w:sz="12" w:space="0" w:color="000000"/>
            </w:tcBorders>
            <w:shd w:fill="CCEEFF" w:val="clear"/>
            <w:vAlign w:val="center"/>
          </w:tcPr>
          <w:p>
            <w:pPr>
              <w:pStyle w:val="TableContents"/>
              <w:bidi w:val="0"/>
              <w:spacing w:before="0" w:after="283"/>
              <w:jc w:val="left"/>
              <w:rPr/>
            </w:pPr>
            <w:r>
              <w:rPr/>
              <w:t> </w:t>
            </w:r>
          </w:p>
        </w:tc>
        <w:tc>
          <w:tcPr>
            <w:tcW w:w="1346" w:type="dxa"/>
            <w:tcBorders>
              <w:bottom w:val="single" w:sz="12" w:space="0" w:color="000000"/>
            </w:tcBorders>
            <w:shd w:fill="CCEEFF" w:val="clear"/>
            <w:vAlign w:val="center"/>
          </w:tcPr>
          <w:p>
            <w:pPr>
              <w:pStyle w:val="TableContents"/>
              <w:bidi w:val="0"/>
              <w:spacing w:before="0" w:after="283"/>
              <w:jc w:val="right"/>
              <w:rPr/>
            </w:pPr>
            <w:r>
              <w:rPr/>
              <w:t>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single" w:sz="12" w:space="0" w:color="000000"/>
            </w:tcBorders>
            <w:shd w:fill="CCEEFF" w:val="clear"/>
            <w:vAlign w:val="center"/>
          </w:tcPr>
          <w:p>
            <w:pPr>
              <w:pStyle w:val="TableContents"/>
              <w:bidi w:val="0"/>
              <w:spacing w:before="0" w:after="283"/>
              <w:jc w:val="left"/>
              <w:rPr/>
            </w:pPr>
            <w:r>
              <w:rPr/>
              <w:t> </w:t>
            </w:r>
          </w:p>
        </w:tc>
        <w:tc>
          <w:tcPr>
            <w:tcW w:w="1344" w:type="dxa"/>
            <w:tcBorders>
              <w:bottom w:val="single" w:sz="12" w:space="0" w:color="000000"/>
            </w:tcBorders>
            <w:shd w:fill="CCEEFF" w:val="clear"/>
            <w:vAlign w:val="center"/>
          </w:tcPr>
          <w:p>
            <w:pPr>
              <w:pStyle w:val="TableContents"/>
              <w:bidi w:val="0"/>
              <w:spacing w:before="0" w:after="283"/>
              <w:jc w:val="right"/>
              <w:rPr/>
            </w:pPr>
            <w:r>
              <w:rPr/>
              <w:t>(270,000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0"/>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292"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337"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2,850,000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5" w:type="dxa"/>
            <w:tcBorders>
              <w:bottom w:val="double" w:sz="10" w:space="0" w:color="000000"/>
            </w:tcBorders>
            <w:vAlign w:val="center"/>
          </w:tcPr>
          <w:p>
            <w:pPr>
              <w:pStyle w:val="TableContents"/>
              <w:bidi w:val="0"/>
              <w:spacing w:before="0" w:after="283"/>
              <w:jc w:val="left"/>
              <w:rPr/>
            </w:pPr>
            <w:r>
              <w:rPr/>
              <w:t>$</w:t>
            </w:r>
          </w:p>
        </w:tc>
        <w:tc>
          <w:tcPr>
            <w:tcW w:w="1346" w:type="dxa"/>
            <w:tcBorders>
              <w:bottom w:val="double" w:sz="10" w:space="0" w:color="000000"/>
            </w:tcBorders>
            <w:vAlign w:val="center"/>
          </w:tcPr>
          <w:p>
            <w:pPr>
              <w:pStyle w:val="TableContents"/>
              <w:bidi w:val="0"/>
              <w:spacing w:before="0" w:after="283"/>
              <w:jc w:val="right"/>
              <w:rPr/>
            </w:pPr>
            <w:r>
              <w:rPr/>
              <w:t>280,000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bottom w:val="double" w:sz="10" w:space="0" w:color="000000"/>
            </w:tcBorders>
            <w:vAlign w:val="center"/>
          </w:tcPr>
          <w:p>
            <w:pPr>
              <w:pStyle w:val="TableContents"/>
              <w:bidi w:val="0"/>
              <w:spacing w:before="0" w:after="283"/>
              <w:jc w:val="left"/>
              <w:rPr/>
            </w:pPr>
            <w:r>
              <w:rPr/>
              <w:t>$</w:t>
            </w:r>
          </w:p>
        </w:tc>
        <w:tc>
          <w:tcPr>
            <w:tcW w:w="1344" w:type="dxa"/>
            <w:tcBorders>
              <w:bottom w:val="double" w:sz="10" w:space="0" w:color="000000"/>
            </w:tcBorders>
            <w:vAlign w:val="center"/>
          </w:tcPr>
          <w:p>
            <w:pPr>
              <w:pStyle w:val="TableContents"/>
              <w:bidi w:val="0"/>
              <w:spacing w:before="0" w:after="283"/>
              <w:jc w:val="right"/>
              <w:rPr/>
            </w:pPr>
            <w:r>
              <w:rPr/>
              <w:t>(673,500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5" w:type="dxa"/>
            <w:tcBorders>
              <w:bottom w:val="double" w:sz="10" w:space="0" w:color="000000"/>
            </w:tcBorders>
            <w:vAlign w:val="center"/>
          </w:tcPr>
          <w:p>
            <w:pPr>
              <w:pStyle w:val="TableContents"/>
              <w:bidi w:val="0"/>
              <w:spacing w:before="0" w:after="283"/>
              <w:jc w:val="right"/>
              <w:rPr/>
            </w:pPr>
            <w:r>
              <w:rPr/>
              <w:t>2,456,500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830" w:type="dxa"/>
            <w:tcBorders>
              <w:bottom w:val="double" w:sz="10" w:space="0" w:color="000000"/>
            </w:tcBorders>
            <w:vAlign w:val="center"/>
          </w:tcPr>
          <w:p>
            <w:pPr>
              <w:pStyle w:val="TableContents"/>
              <w:bidi w:val="0"/>
              <w:spacing w:before="0" w:after="283"/>
              <w:jc w:val="right"/>
              <w:rPr/>
            </w:pPr>
            <w:r>
              <w:rPr/>
              <w:t>614,125</w:t>
            </w:r>
          </w:p>
        </w:tc>
        <w:tc>
          <w:tcPr>
            <w:tcW w:w="139"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pStyle w:val="TextBody"/>
        <w:bidi w:val="0"/>
        <w:spacing w:before="0" w:after="0"/>
        <w:ind w:left="0" w:right="0" w:hanging="0"/>
        <w:jc w:val="center"/>
        <w:rPr>
          <w:caps w:val="false"/>
          <w:smallCaps w:val="false"/>
        </w:rPr>
      </w:pPr>
      <w:r>
        <w:rPr>
          <w:caps w:val="false"/>
          <w:smallCaps w:val="false"/>
        </w:rPr>
        <w:t> </w:t>
      </w:r>
    </w:p>
    <w:tbl>
      <w:tblPr>
        <w:tblW w:w="5670" w:type="dxa"/>
        <w:jc w:val="left"/>
        <w:tblInd w:w="0" w:type="dxa"/>
        <w:tblLayout w:type="fixed"/>
        <w:tblCellMar>
          <w:top w:w="0" w:type="dxa"/>
          <w:left w:w="0" w:type="dxa"/>
          <w:bottom w:w="30" w:type="dxa"/>
          <w:right w:w="0" w:type="dxa"/>
        </w:tblCellMar>
      </w:tblPr>
      <w:tblGrid>
        <w:gridCol w:w="1220"/>
        <w:gridCol w:w="90"/>
        <w:gridCol w:w="1475"/>
        <w:gridCol w:w="90"/>
        <w:gridCol w:w="170"/>
        <w:gridCol w:w="1130"/>
        <w:gridCol w:w="90"/>
        <w:gridCol w:w="90"/>
        <w:gridCol w:w="170"/>
        <w:gridCol w:w="1010"/>
        <w:gridCol w:w="135"/>
      </w:tblGrid>
      <w:tr>
        <w:trPr/>
        <w:tc>
          <w:tcPr>
            <w:tcW w:w="1220" w:type="dxa"/>
            <w:tcBorders>
              <w:bottom w:val="single" w:sz="12" w:space="0" w:color="000000"/>
            </w:tcBorders>
            <w:vAlign w:val="center"/>
          </w:tcPr>
          <w:p>
            <w:pPr>
              <w:pStyle w:val="TableContents"/>
              <w:bidi w:val="0"/>
              <w:spacing w:before="0" w:after="283"/>
              <w:jc w:val="left"/>
              <w:rPr>
                <w:b/>
              </w:rPr>
            </w:pPr>
            <w:r>
              <w:rPr>
                <w:b/>
              </w:rPr>
              <w:t>PIPE</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b/>
              </w:rPr>
            </w:pPr>
            <w:r>
              <w:rPr>
                <w:b/>
              </w:rPr>
              <w:t>Effective 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PIPE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pPr>
            <w:r>
              <w:rPr/>
              <w:t>6/16/2025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2,814,500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703,625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PIPE 2</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6/10/2025</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1,000,000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250,000</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PIPE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pPr>
            <w:r>
              <w:rPr/>
              <w:t>6/17/2025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7,023,143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1,755,786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b/>
              </w:rPr>
            </w:pPr>
            <w:r>
              <w:rPr>
                <w:b/>
              </w:rPr>
              <w:t>Total PIPE</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10,837,643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2,709,411</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Reclassifications and Revisions of Prior Period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analysis of FASB ASC, ASC 250-</w:t>
      </w:r>
      <w:r>
        <w:rPr>
          <w:rFonts w:ascii="Times New Roman;Times;Serif" w:hAnsi="Times New Roman;Times;Serif"/>
          <w:b w:val="false"/>
          <w:i/>
          <w:caps w:val="false"/>
          <w:smallCaps w:val="false"/>
          <w:sz w:val="20"/>
        </w:rPr>
        <w:t>Accounting Changes and Error Corrections</w:t>
      </w:r>
      <w:r>
        <w:rPr>
          <w:rFonts w:ascii="Times New Roman;Times;Serif" w:hAnsi="Times New Roman;Times;Serif"/>
          <w:b w:val="false"/>
          <w:i w:val="false"/>
          <w:caps w:val="false"/>
          <w:smallCaps w:val="false"/>
          <w:sz w:val="20"/>
        </w:rPr>
        <w:t xml:space="preserve">, Staff Accounting Bulletin 99, </w:t>
      </w:r>
      <w:r>
        <w:rPr>
          <w:rFonts w:ascii="Times New Roman;Times;Serif" w:hAnsi="Times New Roman;Times;Serif"/>
          <w:b w:val="false"/>
          <w:i/>
          <w:caps w:val="false"/>
          <w:smallCaps w:val="false"/>
          <w:sz w:val="20"/>
        </w:rPr>
        <w:t>Materiality</w:t>
      </w:r>
      <w:r>
        <w:rPr>
          <w:rFonts w:ascii="Times New Roman;Times;Serif" w:hAnsi="Times New Roman;Times;Serif"/>
          <w:b w:val="false"/>
          <w:i w:val="false"/>
          <w:caps w:val="false"/>
          <w:smallCaps w:val="false"/>
          <w:sz w:val="20"/>
        </w:rPr>
        <w:t xml:space="preserve">, and Staff Accounting Bulletin 108, </w:t>
      </w:r>
      <w:r>
        <w:rPr>
          <w:rFonts w:ascii="Times New Roman;Times;Serif" w:hAnsi="Times New Roman;Times;Serif"/>
          <w:b w:val="false"/>
          <w:i/>
          <w:caps w:val="false"/>
          <w:smallCaps w:val="false"/>
          <w:sz w:val="20"/>
        </w:rPr>
        <w:t>Considering the Effects of Prior Year Misstatements when Quantifying Misstatements in Current Year Financial Statements</w:t>
      </w:r>
      <w:r>
        <w:rPr>
          <w:rFonts w:ascii="Times New Roman;Times;Serif" w:hAnsi="Times New Roman;Times;Serif"/>
          <w:b w:val="false"/>
          <w:i w:val="false"/>
          <w:caps w:val="false"/>
          <w:smallCaps w:val="false"/>
          <w:sz w:val="20"/>
        </w:rPr>
        <w:t>, the Company determined these revisions were not material to the previously issued financial statements and as such reclassifications and revisions were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pStyle w:val="TextBody"/>
        <w:bidi w:val="0"/>
        <w:spacing w:before="0" w:after="0"/>
        <w:jc w:val="center"/>
        <w:rPr>
          <w:caps w:val="false"/>
          <w:smallCaps w:val="false"/>
        </w:rPr>
      </w:pPr>
      <w:r>
        <w:rPr>
          <w:caps w:val="false"/>
          <w:smallCaps w:val="false"/>
        </w:rPr>
        <w:t> </w:t>
      </w:r>
    </w:p>
    <w:tbl>
      <w:tblPr>
        <w:tblW w:w="9579" w:type="dxa"/>
        <w:jc w:val="left"/>
        <w:tblInd w:w="0" w:type="dxa"/>
        <w:tblLayout w:type="fixed"/>
        <w:tblCellMar>
          <w:top w:w="0" w:type="dxa"/>
          <w:left w:w="0" w:type="dxa"/>
          <w:bottom w:w="0" w:type="dxa"/>
          <w:right w:w="0" w:type="dxa"/>
        </w:tblCellMar>
      </w:tblPr>
      <w:tblGrid>
        <w:gridCol w:w="3530"/>
        <w:gridCol w:w="90"/>
        <w:gridCol w:w="293"/>
        <w:gridCol w:w="2081"/>
        <w:gridCol w:w="125"/>
        <w:gridCol w:w="90"/>
        <w:gridCol w:w="218"/>
        <w:gridCol w:w="1392"/>
        <w:gridCol w:w="125"/>
        <w:gridCol w:w="90"/>
        <w:gridCol w:w="170"/>
        <w:gridCol w:w="1205"/>
        <w:gridCol w:w="170"/>
      </w:tblGrid>
      <w:tr>
        <w:trPr/>
        <w:tc>
          <w:tcPr>
            <w:tcW w:w="3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78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 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Reclassification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2081" w:type="dxa"/>
            <w:tcBorders/>
            <w:shd w:fill="CCEEFF" w:val="clear"/>
            <w:vAlign w:val="center"/>
          </w:tcPr>
          <w:p>
            <w:pPr>
              <w:pStyle w:val="TableContents"/>
              <w:bidi w:val="0"/>
              <w:spacing w:before="0" w:after="283"/>
              <w:jc w:val="right"/>
              <w:rPr/>
            </w:pPr>
            <w:r>
              <w:rPr/>
              <w:t>172,661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39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172,661</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2081" w:type="dxa"/>
            <w:tcBorders>
              <w:bottom w:val="single" w:sz="12" w:space="0" w:color="000000"/>
            </w:tcBorders>
            <w:tcMar>
              <w:bottom w:w="28" w:type="dxa"/>
            </w:tcMar>
            <w:vAlign w:val="center"/>
          </w:tcPr>
          <w:p>
            <w:pPr>
              <w:pStyle w:val="TableContents"/>
              <w:bidi w:val="0"/>
              <w:spacing w:before="0" w:after="283"/>
              <w:jc w:val="right"/>
              <w:rPr/>
            </w:pPr>
            <w:r>
              <w:rPr/>
              <w:t>343,889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2" w:type="dxa"/>
            <w:tcBorders>
              <w:bottom w:val="single" w:sz="12" w:space="0" w:color="000000"/>
            </w:tcBorders>
            <w:tcMar>
              <w:bottom w:w="28" w:type="dxa"/>
            </w:tcMar>
            <w:vAlign w:val="center"/>
          </w:tcPr>
          <w:p>
            <w:pPr>
              <w:pStyle w:val="TableContents"/>
              <w:bidi w:val="0"/>
              <w:spacing w:before="0" w:after="283"/>
              <w:jc w:val="right"/>
              <w:rPr/>
            </w:pPr>
            <w:r>
              <w:rPr/>
              <w:t>(300,255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43,634</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81" w:type="dxa"/>
            <w:tcBorders>
              <w:bottom w:val="double" w:sz="10" w:space="0" w:color="000000"/>
            </w:tcBorders>
            <w:shd w:fill="CCEEFF" w:val="clear"/>
            <w:tcMar>
              <w:bottom w:w="28" w:type="dxa"/>
            </w:tcMar>
            <w:vAlign w:val="center"/>
          </w:tcPr>
          <w:p>
            <w:pPr>
              <w:pStyle w:val="TableContents"/>
              <w:bidi w:val="0"/>
              <w:spacing w:before="0" w:after="283"/>
              <w:jc w:val="right"/>
              <w:rPr/>
            </w:pPr>
            <w:r>
              <w:rPr/>
              <w:t>(171,228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10" w:space="0" w:color="000000"/>
            </w:tcBorders>
            <w:shd w:fill="CCEEFF" w:val="clear"/>
            <w:tcMar>
              <w:bottom w:w="28" w:type="dxa"/>
            </w:tcMar>
            <w:vAlign w:val="center"/>
          </w:tcPr>
          <w:p>
            <w:pPr>
              <w:pStyle w:val="TableContents"/>
              <w:bidi w:val="0"/>
              <w:spacing w:before="0" w:after="283"/>
              <w:jc w:val="right"/>
              <w:rPr/>
            </w:pPr>
            <w:r>
              <w:rPr/>
              <w:t>300,255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129,027</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3,588,548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(2,025,220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1,563,328</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right"/>
              <w:rPr/>
            </w:pPr>
            <w:r>
              <w:rPr/>
              <w:t>759,967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90,294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850,261</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Sales and marketing</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2,524,930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197,051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2,721,981</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Acquisition and integration</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2,038,130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2,038,130</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2081" w:type="dxa"/>
            <w:tcBorders>
              <w:bottom w:val="single" w:sz="12" w:space="0" w:color="000000"/>
            </w:tcBorders>
            <w:tcMar>
              <w:bottom w:w="28" w:type="dxa"/>
            </w:tcMar>
            <w:vAlign w:val="center"/>
          </w:tcPr>
          <w:p>
            <w:pPr>
              <w:pStyle w:val="TableContents"/>
              <w:bidi w:val="0"/>
              <w:spacing w:before="0" w:after="283"/>
              <w:jc w:val="right"/>
              <w:rPr/>
            </w:pPr>
            <w:r>
              <w:rPr/>
              <w:t>6,873,445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2" w:type="dxa"/>
            <w:tcBorders>
              <w:bottom w:val="single" w:sz="12" w:space="0" w:color="000000"/>
            </w:tcBorders>
            <w:tcMar>
              <w:bottom w:w="28" w:type="dxa"/>
            </w:tcMar>
            <w:vAlign w:val="center"/>
          </w:tcPr>
          <w:p>
            <w:pPr>
              <w:pStyle w:val="TableContents"/>
              <w:bidi w:val="0"/>
              <w:spacing w:before="0" w:after="283"/>
              <w:jc w:val="right"/>
              <w:rPr/>
            </w:pPr>
            <w:r>
              <w:rPr/>
              <w:t>300,255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7,173,700</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081"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(7,044,673</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Change in fair value of SAFE notes</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2081" w:type="dxa"/>
            <w:tcBorders>
              <w:bottom w:val="single" w:sz="12" w:space="0" w:color="000000"/>
            </w:tcBorders>
            <w:tcMar>
              <w:bottom w:w="28" w:type="dxa"/>
            </w:tcMar>
            <w:vAlign w:val="center"/>
          </w:tcPr>
          <w:p>
            <w:pPr>
              <w:pStyle w:val="TableContents"/>
              <w:bidi w:val="0"/>
              <w:spacing w:before="0" w:after="283"/>
              <w:jc w:val="right"/>
              <w:rPr/>
            </w:pPr>
            <w:r>
              <w:rPr/>
              <w:t>(14,492,176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(14,492,176</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081" w:type="dxa"/>
            <w:tcBorders>
              <w:bottom w:val="single" w:sz="12" w:space="0" w:color="000000"/>
            </w:tcBorders>
            <w:shd w:fill="CCEEFF" w:val="clear"/>
            <w:tcMar>
              <w:bottom w:w="28" w:type="dxa"/>
            </w:tcMar>
            <w:vAlign w:val="center"/>
          </w:tcPr>
          <w:p>
            <w:pPr>
              <w:pStyle w:val="TableContents"/>
              <w:bidi w:val="0"/>
              <w:spacing w:before="0" w:after="283"/>
              <w:jc w:val="right"/>
              <w:rPr/>
            </w:pPr>
            <w:r>
              <w:rPr/>
              <w:t>(21,536,849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(21,536,849</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Provision for income taxes</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2081" w:type="dxa"/>
            <w:tcBorders>
              <w:bottom w:val="single" w:sz="12" w:space="0" w:color="000000"/>
            </w:tcBorders>
            <w:tcMar>
              <w:bottom w:w="28" w:type="dxa"/>
            </w:tcMar>
            <w:vAlign w:val="center"/>
          </w:tcPr>
          <w:p>
            <w:pPr>
              <w:pStyle w:val="TableContents"/>
              <w:bidi w:val="0"/>
              <w:spacing w:before="0" w:after="283"/>
              <w:jc w:val="right"/>
              <w:rPr/>
            </w:pPr>
            <w:r>
              <w:rPr/>
              <w:t>581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581</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81"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(21,537,430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period presented. The impact of these revisions on the Company’s condensed consolidated statements of cash flows for the six and nine month periods ended June 30, 2025 and September 30, 2025, respectively, are presented below:</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920"/>
        <w:gridCol w:w="90"/>
        <w:gridCol w:w="187"/>
        <w:gridCol w:w="1243"/>
        <w:gridCol w:w="125"/>
        <w:gridCol w:w="90"/>
        <w:gridCol w:w="170"/>
        <w:gridCol w:w="1085"/>
        <w:gridCol w:w="125"/>
        <w:gridCol w:w="90"/>
        <w:gridCol w:w="170"/>
        <w:gridCol w:w="1130"/>
        <w:gridCol w:w="170"/>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2025</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Reverse recapitalization transaction</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(4,739,169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(3,339,169</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Accrued interest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Short-term debt, net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(3,750,000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283"/>
              <w:jc w:val="right"/>
              <w:rPr/>
            </w:pPr>
            <w:r>
              <w:rPr/>
              <w:t>(3,762,742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(2,630,000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(6,392,742</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Proceeds from issuance of bridge loans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2,850,000</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r>
              <w:rPr/>
              <w:t>Repayment of bridge loans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(1,660,545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(1,380,545</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10,278,154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2,630,000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12,908,154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3920"/>
        <w:gridCol w:w="90"/>
        <w:gridCol w:w="187"/>
        <w:gridCol w:w="1243"/>
        <w:gridCol w:w="125"/>
        <w:gridCol w:w="90"/>
        <w:gridCol w:w="170"/>
        <w:gridCol w:w="1085"/>
        <w:gridCol w:w="125"/>
        <w:gridCol w:w="90"/>
        <w:gridCol w:w="170"/>
        <w:gridCol w:w="1205"/>
        <w:gridCol w:w="170"/>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Nine Months Ended</w:t>
              <w:br/>
              <w:t>September 30, 2025</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previously</w:t>
              <w:br/>
              <w:t>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Revision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Reverse recapitalization transaction</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(4,739,169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(3,339,169</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Accrued interest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Short-term debt, net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(3,750,000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283"/>
              <w:jc w:val="right"/>
              <w:rPr/>
            </w:pPr>
            <w:r>
              <w:rPr/>
              <w:t>(8,197,830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(2,630,000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(10,827,830</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Proceeds from issuance of bridge loans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2,850,000</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Repayment of bridge loans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3" w:type="dxa"/>
            <w:tcBorders/>
            <w:vAlign w:val="center"/>
          </w:tcPr>
          <w:p>
            <w:pPr>
              <w:pStyle w:val="TableContents"/>
              <w:bidi w:val="0"/>
              <w:spacing w:before="0" w:after="283"/>
              <w:jc w:val="right"/>
              <w:rPr/>
            </w:pPr>
            <w:r>
              <w:rPr/>
              <w:t>(1,660,545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(1,380,545</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10,278,154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2,630,000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12,908,154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 Arising From Cash Deposits in Excess of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 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as of December 31, 2025 and 2024, consisted of the following: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1"/>
        <w:gridCol w:w="90"/>
        <w:gridCol w:w="2945"/>
        <w:gridCol w:w="90"/>
        <w:gridCol w:w="277"/>
        <w:gridCol w:w="1361"/>
        <w:gridCol w:w="125"/>
        <w:gridCol w:w="90"/>
        <w:gridCol w:w="315"/>
        <w:gridCol w:w="1323"/>
        <w:gridCol w:w="138"/>
      </w:tblGrid>
      <w:tr>
        <w:trPr/>
        <w:tc>
          <w:tcPr>
            <w:tcW w:w="34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45" w:type="dxa"/>
            <w:tcBorders>
              <w:bottom w:val="single" w:sz="12" w:space="0" w:color="000000"/>
            </w:tcBorders>
            <w:tcMar>
              <w:bottom w:w="28" w:type="dxa"/>
            </w:tcMar>
            <w:vAlign w:val="center"/>
          </w:tcPr>
          <w:p>
            <w:pPr>
              <w:pStyle w:val="TableContents"/>
              <w:bidi w:val="0"/>
              <w:spacing w:before="0" w:after="283"/>
              <w:jc w:val="center"/>
              <w:rPr>
                <w:b/>
              </w:rPr>
            </w:pPr>
            <w:r>
              <w:rPr>
                <w:b/>
              </w:rPr>
              <w:t>Estimated useful life</w:t>
            </w:r>
          </w:p>
        </w:tc>
        <w:tc>
          <w:tcPr>
            <w:tcW w:w="90" w:type="dxa"/>
            <w:tcBorders/>
            <w:vAlign w:val="center"/>
          </w:tcPr>
          <w:p>
            <w:pPr>
              <w:pStyle w:val="TableContents"/>
              <w:bidi w:val="0"/>
              <w:spacing w:before="0" w:after="283"/>
              <w:jc w:val="left"/>
              <w:rPr/>
            </w:pPr>
            <w:r>
              <w:rPr/>
              <w:t> </w:t>
            </w:r>
          </w:p>
        </w:tc>
        <w:tc>
          <w:tcPr>
            <w:tcW w:w="16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8" w:type="dxa"/>
            <w:tcBorders/>
            <w:vAlign w:val="center"/>
          </w:tcPr>
          <w:p>
            <w:pPr>
              <w:pStyle w:val="TableContents"/>
              <w:bidi w:val="0"/>
              <w:spacing w:before="0" w:after="283"/>
              <w:jc w:val="left"/>
              <w:rPr/>
            </w:pPr>
            <w:r>
              <w:rPr/>
              <w:t> </w:t>
            </w:r>
          </w:p>
        </w:tc>
      </w:tr>
      <w:tr>
        <w:trPr/>
        <w:tc>
          <w:tcPr>
            <w:tcW w:w="3451" w:type="dxa"/>
            <w:tcBorders/>
            <w:shd w:fill="CCEEFF" w:val="clear"/>
            <w:vAlign w:val="center"/>
          </w:tcPr>
          <w:p>
            <w:pPr>
              <w:pStyle w:val="TableContents"/>
              <w:bidi w:val="0"/>
              <w:spacing w:before="0" w:after="283"/>
              <w:jc w:val="left"/>
              <w:rPr/>
            </w:pPr>
            <w:r>
              <w:rPr/>
              <w:t>Equipment</w:t>
            </w:r>
          </w:p>
        </w:tc>
        <w:tc>
          <w:tcPr>
            <w:tcW w:w="90" w:type="dxa"/>
            <w:tcBorders/>
            <w:shd w:fill="CCEEFF" w:val="clear"/>
            <w:vAlign w:val="center"/>
          </w:tcPr>
          <w:p>
            <w:pPr>
              <w:pStyle w:val="TableContents"/>
              <w:bidi w:val="0"/>
              <w:spacing w:before="0" w:after="283"/>
              <w:jc w:val="left"/>
              <w:rPr/>
            </w:pPr>
            <w:r>
              <w:rPr/>
              <w:t> </w:t>
            </w:r>
          </w:p>
        </w:tc>
        <w:tc>
          <w:tcPr>
            <w:tcW w:w="2945" w:type="dxa"/>
            <w:tcBorders/>
            <w:shd w:fill="CCEEFF" w:val="clear"/>
            <w:vAlign w:val="center"/>
          </w:tcPr>
          <w:p>
            <w:pPr>
              <w:pStyle w:val="TableContents"/>
              <w:bidi w:val="0"/>
              <w:spacing w:before="0" w:after="283"/>
              <w:jc w:val="center"/>
              <w:rPr/>
            </w:pPr>
            <w:r>
              <w:rPr/>
              <w:t>3 to 10 years</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665,303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11,286</w:t>
            </w:r>
          </w:p>
        </w:tc>
        <w:tc>
          <w:tcPr>
            <w:tcW w:w="138" w:type="dxa"/>
            <w:tcBorders/>
            <w:shd w:fill="CCEEFF" w:val="clear"/>
            <w:vAlign w:val="center"/>
          </w:tcPr>
          <w:p>
            <w:pPr>
              <w:pStyle w:val="TableContents"/>
              <w:bidi w:val="0"/>
              <w:spacing w:before="0" w:after="283"/>
              <w:jc w:val="left"/>
              <w:rPr/>
            </w:pPr>
            <w:r>
              <w:rPr/>
              <w:t> </w:t>
            </w:r>
          </w:p>
        </w:tc>
      </w:tr>
      <w:tr>
        <w:trPr/>
        <w:tc>
          <w:tcPr>
            <w:tcW w:w="3451"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center"/>
              <w:rPr/>
            </w:pPr>
            <w:r>
              <w:rPr/>
              <w:t>Lesser of lease term or estimated useful life</w:t>
            </w:r>
          </w:p>
        </w:tc>
        <w:tc>
          <w:tcPr>
            <w:tcW w:w="9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361" w:type="dxa"/>
            <w:tcBorders/>
            <w:vAlign w:val="center"/>
          </w:tcPr>
          <w:p>
            <w:pPr>
              <w:pStyle w:val="TableContents"/>
              <w:bidi w:val="0"/>
              <w:spacing w:before="0" w:after="283"/>
              <w:jc w:val="right"/>
              <w:rPr/>
            </w:pPr>
            <w:r>
              <w:rPr/>
              <w:t>16,400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r>
        <w:trPr/>
        <w:tc>
          <w:tcPr>
            <w:tcW w:w="3451" w:type="dxa"/>
            <w:tcBorders/>
            <w:shd w:fill="CCEEFF" w:val="clear"/>
            <w:vAlign w:val="center"/>
          </w:tcPr>
          <w:p>
            <w:pPr>
              <w:pStyle w:val="TableContents"/>
              <w:bidi w:val="0"/>
              <w:spacing w:before="0" w:after="283"/>
              <w:jc w:val="left"/>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94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pPr>
            <w:r>
              <w:rPr/>
              <w:t>(36,463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451"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7" w:type="dxa"/>
            <w:tcBorders>
              <w:bottom w:val="double" w:sz="10" w:space="0" w:color="000000"/>
            </w:tcBorders>
            <w:tcMar>
              <w:bottom w:w="28" w:type="dxa"/>
            </w:tcMar>
            <w:vAlign w:val="center"/>
          </w:tcPr>
          <w:p>
            <w:pPr>
              <w:pStyle w:val="TableContents"/>
              <w:bidi w:val="0"/>
              <w:spacing w:before="0" w:after="283"/>
              <w:jc w:val="left"/>
              <w:rPr/>
            </w:pPr>
            <w:r>
              <w:rPr/>
              <w:t>$</w:t>
            </w:r>
          </w:p>
        </w:tc>
        <w:tc>
          <w:tcPr>
            <w:tcW w:w="1361" w:type="dxa"/>
            <w:tcBorders>
              <w:bottom w:val="double" w:sz="10" w:space="0" w:color="000000"/>
            </w:tcBorders>
            <w:tcMar>
              <w:bottom w:w="28" w:type="dxa"/>
            </w:tcMar>
            <w:vAlign w:val="center"/>
          </w:tcPr>
          <w:p>
            <w:pPr>
              <w:pStyle w:val="TableContents"/>
              <w:bidi w:val="0"/>
              <w:spacing w:before="0" w:after="283"/>
              <w:jc w:val="right"/>
              <w:rPr/>
            </w:pPr>
            <w:r>
              <w:rPr/>
              <w:t>645,240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double" w:sz="10" w:space="0" w:color="000000"/>
            </w:tcBorders>
            <w:tcMar>
              <w:bottom w:w="28" w:type="dxa"/>
            </w:tcMar>
            <w:vAlign w:val="center"/>
          </w:tcPr>
          <w:p>
            <w:pPr>
              <w:pStyle w:val="TableContents"/>
              <w:bidi w:val="0"/>
              <w:spacing w:before="0" w:after="283"/>
              <w:jc w:val="left"/>
              <w:rPr/>
            </w:pPr>
            <w:r>
              <w:rPr/>
              <w:t>$</w:t>
            </w:r>
          </w:p>
        </w:tc>
        <w:tc>
          <w:tcPr>
            <w:tcW w:w="1323" w:type="dxa"/>
            <w:tcBorders>
              <w:bottom w:val="double" w:sz="10" w:space="0" w:color="000000"/>
            </w:tcBorders>
            <w:tcMar>
              <w:bottom w:w="28" w:type="dxa"/>
            </w:tcMar>
            <w:vAlign w:val="center"/>
          </w:tcPr>
          <w:p>
            <w:pPr>
              <w:pStyle w:val="TableContents"/>
              <w:bidi w:val="0"/>
              <w:spacing w:before="0" w:after="283"/>
              <w:jc w:val="right"/>
              <w:rPr/>
            </w:pPr>
            <w:r>
              <w:rPr/>
              <w:t>11,286</w:t>
            </w:r>
          </w:p>
        </w:tc>
        <w:tc>
          <w:tcPr>
            <w:tcW w:w="138"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575" w:type="dxa"/>
        <w:jc w:val="left"/>
        <w:tblInd w:w="0" w:type="dxa"/>
        <w:tblLayout w:type="fixed"/>
        <w:tblCellMar>
          <w:top w:w="0" w:type="dxa"/>
          <w:left w:w="0" w:type="dxa"/>
          <w:bottom w:w="0" w:type="dxa"/>
          <w:right w:w="0" w:type="dxa"/>
        </w:tblCellMar>
      </w:tblPr>
      <w:tblGrid>
        <w:gridCol w:w="2105"/>
        <w:gridCol w:w="90"/>
        <w:gridCol w:w="275"/>
        <w:gridCol w:w="1150"/>
        <w:gridCol w:w="145"/>
        <w:gridCol w:w="145"/>
        <w:gridCol w:w="305"/>
        <w:gridCol w:w="225"/>
        <w:gridCol w:w="135"/>
      </w:tblGrid>
      <w:tr>
        <w:trPr/>
        <w:tc>
          <w:tcPr>
            <w:tcW w:w="2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5" w:type="dxa"/>
            <w:tcBorders/>
            <w:vAlign w:val="center"/>
          </w:tcPr>
          <w:p>
            <w:pPr>
              <w:pStyle w:val="TableContents"/>
              <w:bidi w:val="0"/>
              <w:spacing w:before="0" w:after="283"/>
              <w:jc w:val="center"/>
              <w:rPr/>
            </w:pPr>
            <w:r>
              <w:rPr/>
              <w:t> </w:t>
            </w:r>
          </w:p>
        </w:tc>
        <w:tc>
          <w:tcPr>
            <w:tcW w:w="145" w:type="dxa"/>
            <w:tcBorders/>
            <w:vAlign w:val="center"/>
          </w:tcPr>
          <w:p>
            <w:pPr>
              <w:pStyle w:val="TableContents"/>
              <w:bidi w:val="0"/>
              <w:spacing w:before="0" w:after="283"/>
              <w:jc w:val="center"/>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2105"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36,463</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Capitalized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eligible costs incurred in the development of internal-use software during the application development stage, in accordance with ASC 350-40, </w:t>
      </w:r>
      <w:r>
        <w:rPr>
          <w:rFonts w:ascii="Times New Roman;Times;Serif" w:hAnsi="Times New Roman;Times;Serif"/>
          <w:b w:val="false"/>
          <w:i/>
          <w:caps w:val="false"/>
          <w:smallCaps w:val="false"/>
          <w:sz w:val="20"/>
        </w:rPr>
        <w:t>Internal-Use Software.</w:t>
      </w:r>
      <w:r>
        <w:rPr>
          <w:rFonts w:ascii="Times New Roman;Times;Serif" w:hAnsi="Times New Roman;Times;Serif"/>
          <w:b w:val="false"/>
          <w:i w:val="false"/>
          <w:caps w:val="false"/>
          <w:smallCaps w:val="false"/>
          <w:sz w:val="20"/>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capitalized software development costs of $2,920,718 and $1,761,396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there was no amortization expense recorded on capitalized software development costs as the software was not ready for its intended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Loans and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Equity Financing</w:t>
      </w:r>
      <w:r>
        <w:rPr>
          <w:rFonts w:ascii="Times New Roman;Times;Serif" w:hAnsi="Times New Roman;Times;Serif"/>
          <w:b w:val="false"/>
          <w:i w:val="false"/>
          <w:caps w:val="false"/>
          <w:smallCaps w:val="false"/>
          <w:sz w:val="20"/>
        </w:rPr>
        <w:t xml:space="preserve"> - the SAFE agreements will automatically convert into the number of shares of Safe Preferred Stock equal to the Purchase Amount divided by the Discount Price with certain SAFE agreements subject to a post-money valuation cap of $30,000,000.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 the SAFE agreements will automatically be entitled to receive a portion of Proceeds, 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Dissolution Event</w:t>
      </w:r>
      <w:r>
        <w:rPr>
          <w:rFonts w:ascii="Times New Roman;Times;Serif" w:hAnsi="Times New Roman;Times;Serif"/>
          <w:b w:val="false"/>
          <w:i w:val="false"/>
          <w:caps w:val="false"/>
          <w:smallCaps w:val="false"/>
          <w:sz w:val="20"/>
        </w:rPr>
        <w:t xml:space="preserve"> - the Investor will automatically be entitled to receive a portion of Proceeds equal to the Cash-Out Amount, due and payable to the Investor immediately prior to the consummation of the Dissolution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815-40,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 4.99% ownership cap. Remedies upon default include acceleration, default interest at 19% on 110% of outstanding principal, and enforcement against collateral.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Times;Serif" w:hAnsi="Times New Roman;Times;Serif"/>
          <w:b w:val="false"/>
          <w:i/>
          <w:caps w:val="false"/>
          <w:smallCaps w:val="false"/>
          <w:sz w:val="20"/>
        </w:rPr>
        <w:t>, Derivatives and Hedging.</w:t>
      </w:r>
      <w:r>
        <w:rPr>
          <w:rFonts w:ascii="Times New Roman;Times;Serif" w:hAnsi="Times New Roman;Times;Serif"/>
          <w:b w:val="false"/>
          <w:i w:val="false"/>
          <w:caps w:val="false"/>
          <w:smallCaps w:val="false"/>
          <w:sz w:val="20"/>
        </w:rPr>
        <w:t xml:space="preserve"> The embedded call option provides that, upon a change in control, the note may be called, which represents an additional 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 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5794" w:type="dxa"/>
        <w:jc w:val="left"/>
        <w:tblInd w:w="0" w:type="dxa"/>
        <w:tblLayout w:type="fixed"/>
        <w:tblCellMar>
          <w:top w:w="0" w:type="dxa"/>
          <w:left w:w="0" w:type="dxa"/>
          <w:bottom w:w="28" w:type="dxa"/>
          <w:right w:w="0" w:type="dxa"/>
        </w:tblCellMar>
      </w:tblPr>
      <w:tblGrid>
        <w:gridCol w:w="1745"/>
        <w:gridCol w:w="90"/>
        <w:gridCol w:w="605"/>
        <w:gridCol w:w="90"/>
        <w:gridCol w:w="289"/>
        <w:gridCol w:w="1156"/>
        <w:gridCol w:w="90"/>
        <w:gridCol w:w="90"/>
        <w:gridCol w:w="205"/>
        <w:gridCol w:w="1299"/>
        <w:gridCol w:w="135"/>
      </w:tblGrid>
      <w:tr>
        <w:trPr/>
        <w:tc>
          <w:tcPr>
            <w:tcW w:w="1745" w:type="dxa"/>
            <w:tcBorders>
              <w:bottom w:val="single" w:sz="12" w:space="0" w:color="000000"/>
            </w:tcBorders>
            <w:vAlign w:val="center"/>
          </w:tcPr>
          <w:p>
            <w:pPr>
              <w:pStyle w:val="TableContents"/>
              <w:bidi w:val="0"/>
              <w:spacing w:before="0" w:after="283"/>
              <w:jc w:val="left"/>
              <w:rPr>
                <w:b/>
              </w:rPr>
            </w:pPr>
            <w:r>
              <w:rPr>
                <w:b/>
              </w:rPr>
              <w:t>Description</w:t>
            </w:r>
          </w:p>
        </w:tc>
        <w:tc>
          <w:tcPr>
            <w:tcW w:w="90" w:type="dxa"/>
            <w:tcBorders/>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vAlign w:val="center"/>
          </w:tcPr>
          <w:p>
            <w:pPr>
              <w:pStyle w:val="TableContents"/>
              <w:bidi w:val="0"/>
              <w:spacing w:before="0" w:after="283"/>
              <w:jc w:val="center"/>
              <w:rPr>
                <w:b/>
              </w:rPr>
            </w:pPr>
            <w:r>
              <w:rPr>
                <w:b/>
              </w:rPr>
              <w:t>Level</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135" w:type="dxa"/>
            <w:tcBorders/>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9"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notes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23,334,626</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4130"/>
        <w:gridCol w:w="90"/>
        <w:gridCol w:w="170"/>
        <w:gridCol w:w="1205"/>
        <w:gridCol w:w="125"/>
        <w:gridCol w:w="90"/>
        <w:gridCol w:w="170"/>
        <w:gridCol w:w="1130"/>
        <w:gridCol w:w="135"/>
      </w:tblGrid>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Fair Value -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23,334,626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4,602,950</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Addition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260,628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4,239,500</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Change in fair value of SAFE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17,368,415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14,492,176</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Change in fair value of derivative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(158,241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SAFE notes converted into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(40,726,793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Fair Value - end of period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78,635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23,334,626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Equity Line of Credit (“ELOC”)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it must be bifurcated and accounted for separately as a derivative asset or liability, depending on changes in the underlying stock 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3, </w:t>
      </w:r>
      <w:r>
        <w:rPr>
          <w:rFonts w:ascii="Times New Roman;Times;Serif" w:hAnsi="Times New Roman;Times;Serif"/>
          <w:b w:val="false"/>
          <w:i/>
          <w:caps w:val="false"/>
          <w:smallCaps w:val="false"/>
          <w:sz w:val="20"/>
        </w:rPr>
        <w:t>Business Combination and Reverse Recapitalization</w:t>
      </w:r>
      <w:r>
        <w:rPr>
          <w:rFonts w:ascii="Times New Roman;Times;Serif" w:hAnsi="Times New Roman;Times;Serif"/>
          <w:b w:val="false"/>
          <w:i w:val="false"/>
          <w:caps w:val="false"/>
          <w:smallCaps w:val="false"/>
          <w:sz w:val="20"/>
        </w:rPr>
        <w:t>, all historical equity data, including stock option data, in these consolidated financial statements has been retrospectively adjusted by the Exchange Ratio to reflect the reverse recapitalization that occurred on June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pursuant to the 2021 Incentive Plan for the year ended December 31, 2025 is as follows:</w:t>
      </w:r>
    </w:p>
    <w:p>
      <w:pPr>
        <w:pStyle w:val="TextBody"/>
        <w:bidi w:val="0"/>
        <w:spacing w:before="0" w:after="0"/>
        <w:ind w:left="0" w:right="0" w:hanging="0"/>
        <w:jc w:val="center"/>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4415"/>
        <w:gridCol w:w="90"/>
        <w:gridCol w:w="90"/>
        <w:gridCol w:w="1010"/>
        <w:gridCol w:w="125"/>
        <w:gridCol w:w="90"/>
        <w:gridCol w:w="377"/>
        <w:gridCol w:w="1578"/>
        <w:gridCol w:w="90"/>
        <w:gridCol w:w="90"/>
        <w:gridCol w:w="314"/>
        <w:gridCol w:w="1641"/>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Remaining</w:t>
              <w:br/>
              <w:t>Contractual Life</w:t>
              <w:br/>
              <w:t>(in years)</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outstanding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2,032,521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578" w:type="dxa"/>
            <w:tcBorders/>
            <w:shd w:fill="CCEEFF" w:val="clear"/>
            <w:vAlign w:val="center"/>
          </w:tcPr>
          <w:p>
            <w:pPr>
              <w:pStyle w:val="TableContents"/>
              <w:bidi w:val="0"/>
              <w:spacing w:before="0" w:after="283"/>
              <w:jc w:val="right"/>
              <w:rPr/>
            </w:pPr>
            <w:r>
              <w:rPr/>
              <w:t>0.1151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6.22</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5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641"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(170,715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578" w:type="dxa"/>
            <w:tcBorders>
              <w:bottom w:val="single" w:sz="12" w:space="0" w:color="000000"/>
            </w:tcBorders>
            <w:tcMar>
              <w:bottom w:w="28" w:type="dxa"/>
            </w:tcMar>
            <w:vAlign w:val="center"/>
          </w:tcPr>
          <w:p>
            <w:pPr>
              <w:pStyle w:val="TableContents"/>
              <w:bidi w:val="0"/>
              <w:spacing w:before="0" w:after="283"/>
              <w:jc w:val="right"/>
              <w:rPr/>
            </w:pPr>
            <w:r>
              <w:rPr/>
              <w:t>0.1759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1" w:type="dxa"/>
            <w:tcBorders>
              <w:bottom w:val="single" w:sz="12" w:space="0" w:color="000000"/>
            </w:tcBorders>
            <w:tcMar>
              <w:bottom w:w="28" w:type="dxa"/>
            </w:tcMar>
            <w:vAlign w:val="center"/>
          </w:tcPr>
          <w:p>
            <w:pPr>
              <w:pStyle w:val="TableContents"/>
              <w:bidi w:val="0"/>
              <w:spacing w:before="0" w:after="283"/>
              <w:jc w:val="right"/>
              <w:rPr>
                <w:strike w:val="false"/>
                <w:dstrike w:val="false"/>
                <w:u w:val="none"/>
                <w:effect w:val="none"/>
              </w:rPr>
            </w:pPr>
            <w:r>
              <w:rPr>
                <w:strike w:val="false"/>
                <w:dstrike w:val="false"/>
                <w:u w:val="none"/>
                <w:effect w:val="none"/>
              </w:rPr>
              <w:t xml:space="preserve">n/a </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Options outstanding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1,861,806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8" w:type="dxa"/>
            <w:tcBorders>
              <w:bottom w:val="single" w:sz="12" w:space="0" w:color="000000"/>
            </w:tcBorders>
            <w:shd w:fill="CCEEFF" w:val="clear"/>
            <w:tcMar>
              <w:bottom w:w="28" w:type="dxa"/>
            </w:tcMar>
            <w:vAlign w:val="center"/>
          </w:tcPr>
          <w:p>
            <w:pPr>
              <w:pStyle w:val="TableContents"/>
              <w:bidi w:val="0"/>
              <w:spacing w:before="0" w:after="283"/>
              <w:jc w:val="right"/>
              <w:rPr/>
            </w:pPr>
            <w:r>
              <w:rPr/>
              <w:t>0.1095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41" w:type="dxa"/>
            <w:tcBorders>
              <w:bottom w:val="single" w:sz="12" w:space="0" w:color="000000"/>
            </w:tcBorders>
            <w:shd w:fill="CCEEFF" w:val="clear"/>
            <w:tcMar>
              <w:bottom w:w="28" w:type="dxa"/>
            </w:tcMar>
            <w:vAlign w:val="center"/>
          </w:tcPr>
          <w:p>
            <w:pPr>
              <w:pStyle w:val="TableContents"/>
              <w:bidi w:val="0"/>
              <w:spacing w:before="0" w:after="283"/>
              <w:jc w:val="right"/>
              <w:rPr/>
            </w:pPr>
            <w:r>
              <w:rPr/>
              <w:t>5.66</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Total vested as of December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1,816,184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bottom w:val="double" w:sz="10" w:space="0" w:color="000000"/>
            </w:tcBorders>
            <w:tcMar>
              <w:bottom w:w="28" w:type="dxa"/>
            </w:tcMar>
            <w:vAlign w:val="center"/>
          </w:tcPr>
          <w:p>
            <w:pPr>
              <w:pStyle w:val="TableContents"/>
              <w:bidi w:val="0"/>
              <w:spacing w:before="0" w:after="283"/>
              <w:jc w:val="left"/>
              <w:rPr/>
            </w:pPr>
            <w:r>
              <w:rPr/>
              <w:t>$</w:t>
            </w:r>
          </w:p>
        </w:tc>
        <w:tc>
          <w:tcPr>
            <w:tcW w:w="1578" w:type="dxa"/>
            <w:tcBorders>
              <w:bottom w:val="double" w:sz="10" w:space="0" w:color="000000"/>
            </w:tcBorders>
            <w:tcMar>
              <w:bottom w:w="28" w:type="dxa"/>
            </w:tcMar>
            <w:vAlign w:val="center"/>
          </w:tcPr>
          <w:p>
            <w:pPr>
              <w:pStyle w:val="TableContents"/>
              <w:bidi w:val="0"/>
              <w:spacing w:before="0" w:after="283"/>
              <w:jc w:val="right"/>
              <w:rPr/>
            </w:pPr>
            <w:r>
              <w:rPr/>
              <w:t>0.1074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bottom w:val="double" w:sz="10" w:space="0" w:color="000000"/>
            </w:tcBorders>
            <w:tcMar>
              <w:bottom w:w="28" w:type="dxa"/>
            </w:tcMar>
            <w:vAlign w:val="center"/>
          </w:tcPr>
          <w:p>
            <w:pPr>
              <w:pStyle w:val="TableContents"/>
              <w:bidi w:val="0"/>
              <w:spacing w:before="0" w:after="283"/>
              <w:jc w:val="left"/>
              <w:rPr/>
            </w:pPr>
            <w:r>
              <w:rPr/>
              <w:t> </w:t>
            </w:r>
          </w:p>
        </w:tc>
        <w:tc>
          <w:tcPr>
            <w:tcW w:w="1641" w:type="dxa"/>
            <w:tcBorders>
              <w:bottom w:val="double" w:sz="10" w:space="0" w:color="000000"/>
            </w:tcBorders>
            <w:tcMar>
              <w:bottom w:w="28" w:type="dxa"/>
            </w:tcMar>
            <w:vAlign w:val="center"/>
          </w:tcPr>
          <w:p>
            <w:pPr>
              <w:pStyle w:val="TableContents"/>
              <w:bidi w:val="0"/>
              <w:spacing w:before="0" w:after="283"/>
              <w:jc w:val="right"/>
              <w:rPr/>
            </w:pPr>
            <w:r>
              <w:rPr/>
              <w:t>5.83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has been no stock option activity pursuant to the 2024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no unrecognized share-based compensation costs relating to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years ended December 31, 2025 and 2024:</w:t>
      </w:r>
    </w:p>
    <w:p>
      <w:pPr>
        <w:pStyle w:val="TextBody"/>
        <w:bidi w:val="0"/>
        <w:spacing w:before="0" w:after="0"/>
        <w:jc w:val="center"/>
        <w:rPr>
          <w:caps w:val="false"/>
          <w:smallCaps w:val="false"/>
        </w:rPr>
      </w:pPr>
      <w:r>
        <w:rPr>
          <w:caps w:val="false"/>
          <w:smallCaps w:val="false"/>
        </w:rPr>
        <w:t> </w:t>
      </w:r>
    </w:p>
    <w:tbl>
      <w:tblPr>
        <w:tblW w:w="5002" w:type="dxa"/>
        <w:jc w:val="left"/>
        <w:tblInd w:w="0" w:type="dxa"/>
        <w:tblLayout w:type="fixed"/>
        <w:tblCellMar>
          <w:top w:w="0" w:type="dxa"/>
          <w:left w:w="0" w:type="dxa"/>
          <w:bottom w:w="0" w:type="dxa"/>
          <w:right w:w="0" w:type="dxa"/>
        </w:tblCellMar>
      </w:tblPr>
      <w:tblGrid>
        <w:gridCol w:w="2585"/>
        <w:gridCol w:w="90"/>
        <w:gridCol w:w="181"/>
        <w:gridCol w:w="884"/>
        <w:gridCol w:w="95"/>
        <w:gridCol w:w="95"/>
        <w:gridCol w:w="181"/>
        <w:gridCol w:w="756"/>
        <w:gridCol w:w="135"/>
      </w:tblGrid>
      <w:tr>
        <w:trPr/>
        <w:tc>
          <w:tcPr>
            <w:tcW w:w="2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155,617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43,106</w:t>
            </w:r>
          </w:p>
        </w:tc>
        <w:tc>
          <w:tcPr>
            <w:tcW w:w="13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Other short-term lease cost</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tcMar>
              <w:bottom w:w="28" w:type="dxa"/>
            </w:tcMar>
            <w:vAlign w:val="center"/>
          </w:tcPr>
          <w:p>
            <w:pPr>
              <w:pStyle w:val="TableContents"/>
              <w:bidi w:val="0"/>
              <w:spacing w:before="0" w:after="283"/>
              <w:jc w:val="right"/>
              <w:rPr/>
            </w:pPr>
            <w:r>
              <w:rPr/>
              <w:t>117,134</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35,006</w:t>
            </w:r>
          </w:p>
        </w:tc>
        <w:tc>
          <w:tcPr>
            <w:tcW w:w="13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 lease cost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shd w:fill="CCEEFF" w:val="clear"/>
            <w:tcMar>
              <w:bottom w:w="28" w:type="dxa"/>
            </w:tcMar>
            <w:vAlign w:val="center"/>
          </w:tcPr>
          <w:p>
            <w:pPr>
              <w:pStyle w:val="TableContents"/>
              <w:bidi w:val="0"/>
              <w:spacing w:before="0" w:after="283"/>
              <w:jc w:val="right"/>
              <w:rPr/>
            </w:pPr>
            <w:r>
              <w:rPr/>
              <w:t>272,751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78,112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operating lease asset and liabilities recorded as of December 31, 2025 and 2024:</w:t>
      </w:r>
    </w:p>
    <w:p>
      <w:pPr>
        <w:pStyle w:val="TextBody"/>
        <w:bidi w:val="0"/>
        <w:spacing w:before="0" w:after="0"/>
        <w:jc w:val="center"/>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4505"/>
        <w:gridCol w:w="90"/>
        <w:gridCol w:w="227"/>
        <w:gridCol w:w="1217"/>
        <w:gridCol w:w="245"/>
        <w:gridCol w:w="90"/>
        <w:gridCol w:w="225"/>
        <w:gridCol w:w="1219"/>
        <w:gridCol w:w="290"/>
      </w:tblGrid>
      <w:tr>
        <w:trPr/>
        <w:tc>
          <w:tcPr>
            <w:tcW w:w="4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290" w:type="dxa"/>
            <w:tcBorders/>
            <w:vAlign w:val="center"/>
          </w:tcPr>
          <w:p>
            <w:pPr>
              <w:pStyle w:val="TableContents"/>
              <w:bidi w:val="0"/>
              <w:spacing w:before="0" w:after="283"/>
              <w:jc w:val="center"/>
              <w:rPr/>
            </w:pPr>
            <w:r>
              <w:rPr/>
              <w:t> </w:t>
            </w:r>
          </w:p>
        </w:tc>
      </w:tr>
      <w:tr>
        <w:trPr/>
        <w:tc>
          <w:tcPr>
            <w:tcW w:w="4505" w:type="dxa"/>
            <w:tcBorders/>
            <w:shd w:fill="CCEEFF" w:val="clear"/>
            <w:vAlign w:val="center"/>
          </w:tcPr>
          <w:p>
            <w:pPr>
              <w:pStyle w:val="TableContents"/>
              <w:bidi w:val="0"/>
              <w:spacing w:before="0" w:after="283"/>
              <w:jc w:val="left"/>
              <w:rPr/>
            </w:pPr>
            <w:r>
              <w:rPr/>
              <w:t>Operating lease right-of-use asset, gross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824,314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331,478</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Accumulated amortization</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tcMar>
              <w:bottom w:w="28" w:type="dxa"/>
            </w:tcMar>
            <w:vAlign w:val="center"/>
          </w:tcPr>
          <w:p>
            <w:pPr>
              <w:pStyle w:val="TableContents"/>
              <w:bidi w:val="0"/>
              <w:spacing w:before="0" w:after="283"/>
              <w:jc w:val="right"/>
              <w:rPr/>
            </w:pPr>
            <w:r>
              <w:rPr/>
              <w:t>(122,436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(23,586</w:t>
            </w:r>
          </w:p>
        </w:tc>
        <w:tc>
          <w:tcPr>
            <w:tcW w:w="290" w:type="dxa"/>
            <w:tcBorders/>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701,878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307,892</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Short-term operating lease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139,963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36,225</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Long-term operating lease liabilities</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tcMar>
              <w:bottom w:w="28" w:type="dxa"/>
            </w:tcMar>
            <w:vAlign w:val="center"/>
          </w:tcPr>
          <w:p>
            <w:pPr>
              <w:pStyle w:val="TableContents"/>
              <w:bidi w:val="0"/>
              <w:spacing w:before="0" w:after="283"/>
              <w:jc w:val="right"/>
              <w:rPr/>
            </w:pPr>
            <w:r>
              <w:rPr/>
              <w:t>577,656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265,413</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CCEEFF" w:val="clear"/>
            <w:tcMar>
              <w:bottom w:w="28" w:type="dxa"/>
            </w:tcMar>
            <w:vAlign w:val="center"/>
          </w:tcPr>
          <w:p>
            <w:pPr>
              <w:pStyle w:val="TableContents"/>
              <w:bidi w:val="0"/>
              <w:spacing w:before="0" w:after="283"/>
              <w:jc w:val="right"/>
              <w:rPr/>
            </w:pPr>
            <w:r>
              <w:rPr/>
              <w:t>717,619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301,638</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Weighted average operating lease term</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4.75 years </w:t>
            </w:r>
          </w:p>
        </w:tc>
        <w:tc>
          <w:tcPr>
            <w:tcW w:w="29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Weighted average operating lease discount rate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9.53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11.83</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future minimum lease commitments as of December 31, 2025:</w:t>
      </w:r>
    </w:p>
    <w:p>
      <w:pPr>
        <w:pStyle w:val="TextBody"/>
        <w:bidi w:val="0"/>
        <w:spacing w:before="0" w:after="0"/>
        <w:jc w:val="center"/>
        <w:rPr>
          <w:caps w:val="false"/>
          <w:smallCaps w:val="false"/>
        </w:rPr>
      </w:pPr>
      <w:r>
        <w:rPr>
          <w:caps w:val="false"/>
          <w:smallCaps w:val="false"/>
        </w:rPr>
        <w:t> </w:t>
      </w:r>
    </w:p>
    <w:tbl>
      <w:tblPr>
        <w:tblW w:w="5084" w:type="dxa"/>
        <w:jc w:val="left"/>
        <w:tblInd w:w="0" w:type="dxa"/>
        <w:tblLayout w:type="fixed"/>
        <w:tblCellMar>
          <w:top w:w="0" w:type="dxa"/>
          <w:left w:w="0" w:type="dxa"/>
          <w:bottom w:w="28" w:type="dxa"/>
          <w:right w:w="0" w:type="dxa"/>
        </w:tblCellMar>
      </w:tblPr>
      <w:tblGrid>
        <w:gridCol w:w="3005"/>
        <w:gridCol w:w="90"/>
        <w:gridCol w:w="286"/>
        <w:gridCol w:w="1533"/>
        <w:gridCol w:w="170"/>
      </w:tblGrid>
      <w:tr>
        <w:trPr/>
        <w:tc>
          <w:tcPr>
            <w:tcW w:w="3005" w:type="dxa"/>
            <w:tcBorders>
              <w:bottom w:val="single" w:sz="12"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12" w:space="0" w:color="000000"/>
            </w:tcBorders>
            <w:vAlign w:val="center"/>
          </w:tcPr>
          <w:p>
            <w:pPr>
              <w:pStyle w:val="TableContents"/>
              <w:bidi w:val="0"/>
              <w:spacing w:before="0" w:after="283"/>
              <w:jc w:val="center"/>
              <w:rPr>
                <w:b/>
              </w:rPr>
            </w:pPr>
            <w:r>
              <w:rPr>
                <w:b/>
              </w:rPr>
              <w:t>Operating Leases</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533" w:type="dxa"/>
            <w:tcBorders/>
            <w:shd w:fill="CCEEFF" w:val="clear"/>
            <w:tcMar>
              <w:bottom w:w="0" w:type="dxa"/>
            </w:tcMar>
            <w:vAlign w:val="center"/>
          </w:tcPr>
          <w:p>
            <w:pPr>
              <w:pStyle w:val="TableContents"/>
              <w:bidi w:val="0"/>
              <w:spacing w:before="0" w:after="283"/>
              <w:jc w:val="right"/>
              <w:rPr/>
            </w:pPr>
            <w:r>
              <w:rPr/>
              <w:t>200,462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 </w:t>
            </w:r>
          </w:p>
        </w:tc>
        <w:tc>
          <w:tcPr>
            <w:tcW w:w="1533" w:type="dxa"/>
            <w:tcBorders/>
            <w:tcMar>
              <w:bottom w:w="0" w:type="dxa"/>
            </w:tcMar>
            <w:vAlign w:val="center"/>
          </w:tcPr>
          <w:p>
            <w:pPr>
              <w:pStyle w:val="TableContents"/>
              <w:bidi w:val="0"/>
              <w:spacing w:before="0" w:after="283"/>
              <w:jc w:val="right"/>
              <w:rPr/>
            </w:pPr>
            <w:r>
              <w:rPr/>
              <w:t>207,783</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533" w:type="dxa"/>
            <w:tcBorders/>
            <w:shd w:fill="CCEEFF" w:val="clear"/>
            <w:tcMar>
              <w:bottom w:w="0" w:type="dxa"/>
            </w:tcMar>
            <w:vAlign w:val="center"/>
          </w:tcPr>
          <w:p>
            <w:pPr>
              <w:pStyle w:val="TableContents"/>
              <w:bidi w:val="0"/>
              <w:spacing w:before="0" w:after="283"/>
              <w:jc w:val="right"/>
              <w:rPr/>
            </w:pPr>
            <w:r>
              <w:rPr/>
              <w:t>215,950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 </w:t>
            </w:r>
          </w:p>
        </w:tc>
        <w:tc>
          <w:tcPr>
            <w:tcW w:w="1533" w:type="dxa"/>
            <w:tcBorders/>
            <w:tcMar>
              <w:bottom w:w="0" w:type="dxa"/>
            </w:tcMar>
            <w:vAlign w:val="center"/>
          </w:tcPr>
          <w:p>
            <w:pPr>
              <w:pStyle w:val="TableContents"/>
              <w:bidi w:val="0"/>
              <w:spacing w:before="0" w:after="283"/>
              <w:jc w:val="right"/>
              <w:rPr/>
            </w:pPr>
            <w:r>
              <w:rPr/>
              <w:t>197,905</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12" w:space="0" w:color="000000"/>
            </w:tcBorders>
            <w:shd w:fill="CCEEFF" w:val="clear"/>
            <w:vAlign w:val="center"/>
          </w:tcPr>
          <w:p>
            <w:pPr>
              <w:pStyle w:val="TableContents"/>
              <w:bidi w:val="0"/>
              <w:spacing w:before="0" w:after="283"/>
              <w:jc w:val="left"/>
              <w:rPr/>
            </w:pPr>
            <w:r>
              <w:rPr/>
              <w:t> </w:t>
            </w:r>
          </w:p>
        </w:tc>
        <w:tc>
          <w:tcPr>
            <w:tcW w:w="1533" w:type="dxa"/>
            <w:tcBorders>
              <w:bottom w:val="single" w:sz="12" w:space="0" w:color="000000"/>
            </w:tcBorders>
            <w:shd w:fill="CCEEFF" w:val="clear"/>
            <w:vAlign w:val="center"/>
          </w:tcPr>
          <w:p>
            <w:pPr>
              <w:pStyle w:val="TableContents"/>
              <w:bidi w:val="0"/>
              <w:spacing w:before="0" w:after="283"/>
              <w:jc w:val="right"/>
              <w:rPr/>
            </w:pPr>
            <w:r>
              <w:rPr/>
              <w:t>42,436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286" w:type="dxa"/>
            <w:tcBorders/>
            <w:tcMar>
              <w:bottom w:w="0" w:type="dxa"/>
            </w:tcMar>
            <w:vAlign w:val="center"/>
          </w:tcPr>
          <w:p>
            <w:pPr>
              <w:pStyle w:val="TableContents"/>
              <w:bidi w:val="0"/>
              <w:spacing w:before="0" w:after="283"/>
              <w:jc w:val="left"/>
              <w:rPr/>
            </w:pPr>
            <w:r>
              <w:rPr/>
              <w:t>$</w:t>
            </w:r>
          </w:p>
        </w:tc>
        <w:tc>
          <w:tcPr>
            <w:tcW w:w="1533" w:type="dxa"/>
            <w:tcBorders/>
            <w:tcMar>
              <w:bottom w:w="0" w:type="dxa"/>
            </w:tcMar>
            <w:vAlign w:val="center"/>
          </w:tcPr>
          <w:p>
            <w:pPr>
              <w:pStyle w:val="TableContents"/>
              <w:bidi w:val="0"/>
              <w:spacing w:before="0" w:after="283"/>
              <w:jc w:val="right"/>
              <w:rPr/>
            </w:pPr>
            <w:r>
              <w:rPr/>
              <w:t>864,536</w:t>
            </w:r>
          </w:p>
        </w:tc>
        <w:tc>
          <w:tcPr>
            <w:tcW w:w="170"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6" w:type="dxa"/>
            <w:tcBorders>
              <w:bottom w:val="single" w:sz="12" w:space="0" w:color="000000"/>
            </w:tcBorders>
            <w:shd w:fill="CCEEFF" w:val="clear"/>
            <w:vAlign w:val="center"/>
          </w:tcPr>
          <w:p>
            <w:pPr>
              <w:pStyle w:val="TableContents"/>
              <w:bidi w:val="0"/>
              <w:spacing w:before="0" w:after="283"/>
              <w:jc w:val="left"/>
              <w:rPr/>
            </w:pPr>
            <w:r>
              <w:rPr/>
              <w:t> </w:t>
            </w:r>
          </w:p>
        </w:tc>
        <w:tc>
          <w:tcPr>
            <w:tcW w:w="1533" w:type="dxa"/>
            <w:tcBorders>
              <w:bottom w:val="single" w:sz="12" w:space="0" w:color="000000"/>
            </w:tcBorders>
            <w:shd w:fill="CCEEFF" w:val="clear"/>
            <w:vAlign w:val="center"/>
          </w:tcPr>
          <w:p>
            <w:pPr>
              <w:pStyle w:val="TableContents"/>
              <w:bidi w:val="0"/>
              <w:spacing w:before="0" w:after="283"/>
              <w:jc w:val="right"/>
              <w:rPr/>
            </w:pPr>
            <w:r>
              <w:rPr/>
              <w:t>(146,917</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00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286" w:type="dxa"/>
            <w:tcBorders>
              <w:bottom w:val="double" w:sz="10" w:space="0" w:color="000000"/>
            </w:tcBorders>
            <w:vAlign w:val="center"/>
          </w:tcPr>
          <w:p>
            <w:pPr>
              <w:pStyle w:val="TableContents"/>
              <w:bidi w:val="0"/>
              <w:spacing w:before="0" w:after="283"/>
              <w:jc w:val="left"/>
              <w:rPr/>
            </w:pPr>
            <w:r>
              <w:rPr/>
              <w:t>$</w:t>
            </w:r>
          </w:p>
        </w:tc>
        <w:tc>
          <w:tcPr>
            <w:tcW w:w="1533" w:type="dxa"/>
            <w:tcBorders>
              <w:bottom w:val="double" w:sz="10" w:space="0" w:color="000000"/>
            </w:tcBorders>
            <w:vAlign w:val="center"/>
          </w:tcPr>
          <w:p>
            <w:pPr>
              <w:pStyle w:val="TableContents"/>
              <w:bidi w:val="0"/>
              <w:spacing w:before="0" w:after="283"/>
              <w:jc w:val="right"/>
              <w:rPr/>
            </w:pPr>
            <w:r>
              <w:rPr/>
              <w:t>717,619</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that are under common ownership or control with the Company, as well as entities owned in whole or in part by members of the Company’s management, board of directors, or significant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as of December 31, 2025 and 2024 consisted of the following:</w:t>
      </w:r>
    </w:p>
    <w:p>
      <w:pPr>
        <w:pStyle w:val="TextBody"/>
        <w:bidi w:val="0"/>
        <w:spacing w:before="0" w:after="0"/>
        <w:jc w:val="center"/>
        <w:rPr>
          <w:caps w:val="false"/>
          <w:smallCaps w:val="false"/>
        </w:rPr>
      </w:pPr>
      <w:r>
        <w:rPr>
          <w:caps w:val="false"/>
          <w:smallCaps w:val="false"/>
        </w:rPr>
        <w:t> </w:t>
      </w:r>
    </w:p>
    <w:tbl>
      <w:tblPr>
        <w:tblW w:w="8278" w:type="dxa"/>
        <w:jc w:val="left"/>
        <w:tblInd w:w="0" w:type="dxa"/>
        <w:tblLayout w:type="fixed"/>
        <w:tblCellMar>
          <w:top w:w="0" w:type="dxa"/>
          <w:left w:w="0" w:type="dxa"/>
          <w:bottom w:w="0" w:type="dxa"/>
          <w:right w:w="0" w:type="dxa"/>
        </w:tblCellMar>
      </w:tblPr>
      <w:tblGrid>
        <w:gridCol w:w="4985"/>
        <w:gridCol w:w="90"/>
        <w:gridCol w:w="208"/>
        <w:gridCol w:w="1236"/>
        <w:gridCol w:w="90"/>
        <w:gridCol w:w="90"/>
        <w:gridCol w:w="278"/>
        <w:gridCol w:w="1166"/>
        <w:gridCol w:w="135"/>
      </w:tblGrid>
      <w:tr>
        <w:trPr/>
        <w:tc>
          <w:tcPr>
            <w:tcW w:w="49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Transaction costs accrued for Cohen Capital Market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1,003,500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Board of directors’ fees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780,000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42,689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24,219</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Total accrued expenses</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tcMar>
              <w:bottom w:w="28" w:type="dxa"/>
            </w:tcMar>
            <w:vAlign w:val="center"/>
          </w:tcPr>
          <w:p>
            <w:pPr>
              <w:pStyle w:val="TableContents"/>
              <w:bidi w:val="0"/>
              <w:spacing w:before="0" w:after="283"/>
              <w:jc w:val="right"/>
              <w:rPr/>
            </w:pPr>
            <w:r>
              <w:rPr/>
              <w:t>1,826,189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24,219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as of December 31, 2025 and 2024 consisted of the following:</w:t>
      </w:r>
    </w:p>
    <w:p>
      <w:pPr>
        <w:pStyle w:val="TextBody"/>
        <w:bidi w:val="0"/>
        <w:spacing w:before="0" w:after="0"/>
        <w:ind w:left="0" w:right="0" w:hanging="0"/>
        <w:jc w:val="center"/>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1850"/>
        <w:gridCol w:w="90"/>
        <w:gridCol w:w="208"/>
        <w:gridCol w:w="1236"/>
        <w:gridCol w:w="90"/>
        <w:gridCol w:w="90"/>
        <w:gridCol w:w="278"/>
        <w:gridCol w:w="1166"/>
        <w:gridCol w:w="135"/>
      </w:tblGrid>
      <w:tr>
        <w:trPr/>
        <w:tc>
          <w:tcPr>
            <w:tcW w:w="18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1,064,464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65,248</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Shipping costs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64,066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Inventory in transit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186,245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pPr>
            <w:r>
              <w:rPr/>
              <w:t>116,106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Total inventories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1,430,881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65,248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Commitment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460"/>
        <w:gridCol w:w="90"/>
        <w:gridCol w:w="170"/>
        <w:gridCol w:w="1010"/>
        <w:gridCol w:w="90"/>
        <w:gridCol w:w="90"/>
        <w:gridCol w:w="170"/>
        <w:gridCol w:w="830"/>
        <w:gridCol w:w="135"/>
      </w:tblGrid>
      <w:tr>
        <w:trPr/>
        <w:tc>
          <w:tcPr>
            <w:tcW w:w="146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283"/>
              <w:jc w:val="left"/>
              <w:rPr/>
            </w:pPr>
            <w:r>
              <w:rPr/>
              <w:t>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347,814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172,661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460" w:type="dxa"/>
            <w:tcBorders/>
            <w:vAlign w:val="center"/>
          </w:tcPr>
          <w:p>
            <w:pPr>
              <w:pStyle w:val="TableContents"/>
              <w:bidi w:val="0"/>
              <w:spacing w:before="0" w:after="283"/>
              <w:jc w:val="left"/>
              <w:rPr/>
            </w:pPr>
            <w:r>
              <w:rPr/>
              <w:t>Products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5,456,554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1460" w:type="dxa"/>
            <w:tcBorders/>
            <w:shd w:fill="CCEEFF" w:val="clear"/>
            <w:vAlign w:val="center"/>
          </w:tcPr>
          <w:p>
            <w:pPr>
              <w:pStyle w:val="TableContents"/>
              <w:bidi w:val="0"/>
              <w:spacing w:before="0" w:after="283"/>
              <w:jc w:val="left"/>
              <w:rPr/>
            </w:pPr>
            <w:r>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5,804,369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172,661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total deferred revenue of $1,984,550 and $2,713,215, respectively. Of these amounts, $236,038 and $1,142,643, respectively, were expected to be recognized as revenue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 consists of:</w:t>
      </w:r>
    </w:p>
    <w:p>
      <w:pPr>
        <w:pStyle w:val="TextBody"/>
        <w:bidi w:val="0"/>
        <w:spacing w:before="0" w:after="0"/>
        <w:ind w:left="0" w:right="0" w:hanging="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1970"/>
        <w:gridCol w:w="90"/>
        <w:gridCol w:w="170"/>
        <w:gridCol w:w="1205"/>
        <w:gridCol w:w="125"/>
        <w:gridCol w:w="90"/>
        <w:gridCol w:w="170"/>
        <w:gridCol w:w="1205"/>
        <w:gridCol w:w="170"/>
      </w:tblGrid>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7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Domestic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(37,841,287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(21,278,239</w:t>
            </w:r>
          </w:p>
        </w:tc>
        <w:tc>
          <w:tcPr>
            <w:tcW w:w="170" w:type="dxa"/>
            <w:tcBorders/>
            <w:shd w:fill="CCEEFF" w:val="clear"/>
            <w:vAlign w:val="center"/>
          </w:tcPr>
          <w:p>
            <w:pPr>
              <w:pStyle w:val="TableContents"/>
              <w:bidi w:val="0"/>
              <w:spacing w:before="0" w:after="283"/>
              <w:jc w:val="left"/>
              <w:rPr/>
            </w:pPr>
            <w:r>
              <w:rPr/>
              <w:t>)</w:t>
            </w:r>
          </w:p>
        </w:tc>
      </w:tr>
      <w:tr>
        <w:trPr/>
        <w:tc>
          <w:tcPr>
            <w:tcW w:w="197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1,123,216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(258,610</w:t>
            </w:r>
          </w:p>
        </w:tc>
        <w:tc>
          <w:tcPr>
            <w:tcW w:w="170" w:type="dxa"/>
            <w:tcBorders/>
            <w:vAlign w:val="center"/>
          </w:tcPr>
          <w:p>
            <w:pPr>
              <w:pStyle w:val="TableContents"/>
              <w:bidi w:val="0"/>
              <w:spacing w:before="0" w:after="283"/>
              <w:jc w:val="left"/>
              <w:rPr/>
            </w:pPr>
            <w:r>
              <w:rPr/>
              <w:t>)</w:t>
            </w:r>
          </w:p>
        </w:tc>
      </w:tr>
      <w:tr>
        <w:trPr/>
        <w:tc>
          <w:tcPr>
            <w:tcW w:w="1970" w:type="dxa"/>
            <w:tcBorders/>
            <w:shd w:fill="CCEEFF" w:val="clear"/>
            <w:vAlign w:val="center"/>
          </w:tcPr>
          <w:p>
            <w:pPr>
              <w:pStyle w:val="TableContents"/>
              <w:bidi w:val="0"/>
              <w:spacing w:before="0" w:after="283"/>
              <w:jc w:val="left"/>
              <w:rPr/>
            </w:pPr>
            <w:r>
              <w:rPr/>
              <w:t>Income before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(36,718,071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(21,536,849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expense (benefit) for the years ended December 31,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3470"/>
        <w:gridCol w:w="90"/>
        <w:gridCol w:w="170"/>
        <w:gridCol w:w="905"/>
        <w:gridCol w:w="125"/>
        <w:gridCol w:w="90"/>
        <w:gridCol w:w="170"/>
        <w:gridCol w:w="1085"/>
        <w:gridCol w:w="170"/>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7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Current provision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Federal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State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581</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Current 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581</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Deferred provision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Federal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124,223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(4,045,818</w:t>
            </w:r>
          </w:p>
        </w:tc>
        <w:tc>
          <w:tcPr>
            <w:tcW w:w="170" w:type="dxa"/>
            <w:tcBorders/>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State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(275,872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(105,464</w:t>
            </w:r>
          </w:p>
        </w:tc>
        <w:tc>
          <w:tcPr>
            <w:tcW w:w="170" w:type="dxa"/>
            <w:tcBorders/>
            <w:shd w:fill="CCEEFF" w:val="clear"/>
            <w:vAlign w:val="center"/>
          </w:tcPr>
          <w:p>
            <w:pPr>
              <w:pStyle w:val="TableContents"/>
              <w:bidi w:val="0"/>
              <w:spacing w:before="0" w:after="283"/>
              <w:jc w:val="left"/>
              <w:rPr/>
            </w:pPr>
            <w:r>
              <w:rPr/>
              <w:t>)</w:t>
            </w:r>
          </w:p>
        </w:tc>
      </w:tr>
      <w:tr>
        <w:trPr/>
        <w:tc>
          <w:tcPr>
            <w:tcW w:w="347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10,338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(10,338</w:t>
            </w:r>
          </w:p>
        </w:tc>
        <w:tc>
          <w:tcPr>
            <w:tcW w:w="170" w:type="dxa"/>
            <w:tcBorders/>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141,311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4,161,621</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Deferred provision for income taxes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Total 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581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0" w:type="dxa"/>
          <w:right w:w="0" w:type="dxa"/>
        </w:tblCellMar>
      </w:tblPr>
      <w:tblGrid>
        <w:gridCol w:w="6440"/>
        <w:gridCol w:w="90"/>
        <w:gridCol w:w="170"/>
        <w:gridCol w:w="1085"/>
        <w:gridCol w:w="125"/>
        <w:gridCol w:w="90"/>
        <w:gridCol w:w="117"/>
        <w:gridCol w:w="713"/>
        <w:gridCol w:w="365"/>
      </w:tblGrid>
      <w:tr>
        <w:trPr/>
        <w:tc>
          <w:tcPr>
            <w:tcW w:w="6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 2025</w:t>
            </w:r>
          </w:p>
        </w:tc>
        <w:tc>
          <w:tcPr>
            <w:tcW w:w="36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U.S. federal statutory tax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(7,710,795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6440" w:type="dxa"/>
            <w:tcBorders/>
            <w:vAlign w:val="center"/>
          </w:tcPr>
          <w:p>
            <w:pPr>
              <w:pStyle w:val="TableContents"/>
              <w:bidi w:val="0"/>
              <w:spacing w:before="0" w:after="283"/>
              <w:jc w:val="left"/>
              <w:rPr/>
            </w:pPr>
            <w:r>
              <w:rPr/>
              <w:t>State income taxes, net of federal income tax effect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(282,645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(0.8</w:t>
            </w:r>
          </w:p>
        </w:tc>
        <w:tc>
          <w:tcPr>
            <w:tcW w:w="365" w:type="dxa"/>
            <w:tcBorders/>
            <w:vAlign w:val="center"/>
          </w:tcPr>
          <w:p>
            <w:pPr>
              <w:pStyle w:val="TableContents"/>
              <w:bidi w:val="0"/>
              <w:spacing w:before="0" w:after="283"/>
              <w:jc w:val="left"/>
              <w:rPr/>
            </w:pPr>
            <w:r>
              <w:rPr/>
              <w:t>)</w:t>
            </w:r>
          </w:p>
        </w:tc>
      </w:tr>
      <w:tr>
        <w:trPr/>
        <w:tc>
          <w:tcPr>
            <w:tcW w:w="6440"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Puerto Rico</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Statutory tax rate difference between Puerto Rico and 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(247,107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(0.6</w:t>
            </w:r>
          </w:p>
        </w:tc>
        <w:tc>
          <w:tcPr>
            <w:tcW w:w="365" w:type="dxa"/>
            <w:tcBorders/>
            <w:shd w:fill="CCEEFF" w:val="clear"/>
            <w:vAlign w:val="center"/>
          </w:tcPr>
          <w:p>
            <w:pPr>
              <w:pStyle w:val="TableContents"/>
              <w:bidi w:val="0"/>
              <w:spacing w:before="0" w:after="283"/>
              <w:jc w:val="left"/>
              <w:rPr/>
            </w:pPr>
            <w:r>
              <w:rPr/>
              <w:t>)</w:t>
            </w:r>
          </w:p>
        </w:tc>
      </w:tr>
      <w:tr>
        <w:trPr/>
        <w:tc>
          <w:tcPr>
            <w:tcW w:w="6440" w:type="dxa"/>
            <w:tcBorders/>
            <w:vAlign w:val="center"/>
          </w:tcPr>
          <w:p>
            <w:pPr>
              <w:pStyle w:val="TableContents"/>
              <w:bidi w:val="0"/>
              <w:spacing w:before="0" w:after="283"/>
              <w:jc w:val="left"/>
              <w:rPr/>
            </w:pPr>
            <w:r>
              <w:rPr/>
              <w:t>Changes in valuation allowance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(10,338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Effect of cross-border tax laws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Global intangible low-tax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0.1</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Changes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151,649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0.4</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Nontaxable or nondeductible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3,647,367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9.9</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Transaction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548,015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1.5</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Loss on extinguishment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1,202,942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3.3</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Deferred tax true-ups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2,551,581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6.9</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Other adjustments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127,081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13" w:type="dxa"/>
            <w:tcBorders>
              <w:bottom w:val="single" w:sz="12" w:space="0" w:color="000000"/>
            </w:tcBorders>
            <w:tcMar>
              <w:bottom w:w="28" w:type="dxa"/>
            </w:tcMar>
            <w:vAlign w:val="center"/>
          </w:tcPr>
          <w:p>
            <w:pPr>
              <w:pStyle w:val="TableContents"/>
              <w:bidi w:val="0"/>
              <w:spacing w:before="0" w:after="283"/>
              <w:jc w:val="right"/>
              <w:rPr/>
            </w:pPr>
            <w:r>
              <w:rPr/>
              <w:t>0.3</w:t>
            </w:r>
          </w:p>
        </w:tc>
        <w:tc>
          <w:tcPr>
            <w:tcW w:w="365"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283"/>
              <w:jc w:val="left"/>
              <w:rPr/>
            </w:pPr>
            <w:r>
              <w:rPr/>
              <w:t>Effective tax rate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3" w:type="dxa"/>
            <w:tcBorders>
              <w:bottom w:val="double" w:sz="10" w:space="0" w:color="000000"/>
            </w:tcBorders>
            <w:shd w:fill="CCEEFF" w:val="clear"/>
            <w:tcMar>
              <w:bottom w:w="28" w:type="dxa"/>
            </w:tcM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are as follows for the year ended December 31, 2025:</w:t>
      </w:r>
    </w:p>
    <w:p>
      <w:pPr>
        <w:pStyle w:val="TextBody"/>
        <w:bidi w:val="0"/>
        <w:spacing w:before="0" w:after="0"/>
        <w:jc w:val="center"/>
        <w:rPr>
          <w:caps w:val="false"/>
          <w:smallCaps w:val="false"/>
        </w:rPr>
      </w:pPr>
      <w:r>
        <w:rPr>
          <w:caps w:val="false"/>
          <w:smallCaps w:val="false"/>
        </w:rPr>
        <w:t> </w:t>
      </w:r>
    </w:p>
    <w:tbl>
      <w:tblPr>
        <w:tblW w:w="5339" w:type="dxa"/>
        <w:jc w:val="left"/>
        <w:tblInd w:w="0" w:type="dxa"/>
        <w:tblLayout w:type="fixed"/>
        <w:tblCellMar>
          <w:top w:w="0" w:type="dxa"/>
          <w:left w:w="0" w:type="dxa"/>
          <w:bottom w:w="0" w:type="dxa"/>
          <w:right w:w="0" w:type="dxa"/>
        </w:tblCellMar>
      </w:tblPr>
      <w:tblGrid>
        <w:gridCol w:w="3635"/>
        <w:gridCol w:w="90"/>
        <w:gridCol w:w="195"/>
        <w:gridCol w:w="1249"/>
        <w:gridCol w:w="170"/>
      </w:tblGrid>
      <w:tr>
        <w:trPr/>
        <w:tc>
          <w:tcPr>
            <w:tcW w:w="36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7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Research and development tax credits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262,178</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65,554</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Net operating losses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3,310,890</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1,367,374</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Total deferred tax assets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5,005,996</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Right of use asset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(60,330</w:t>
            </w:r>
          </w:p>
        </w:tc>
        <w:tc>
          <w:tcPr>
            <w:tcW w:w="170" w:type="dxa"/>
            <w:tcBorders/>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Total deferred tax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(60,330</w:t>
            </w:r>
          </w:p>
        </w:tc>
        <w:tc>
          <w:tcPr>
            <w:tcW w:w="170" w:type="dxa"/>
            <w:tcBorders/>
            <w:shd w:fill="CCEEFF" w:val="clear"/>
            <w:vAlign w:val="center"/>
          </w:tcPr>
          <w:p>
            <w:pPr>
              <w:pStyle w:val="TableContents"/>
              <w:bidi w:val="0"/>
              <w:spacing w:before="0" w:after="283"/>
              <w:jc w:val="left"/>
              <w:rPr/>
            </w:pPr>
            <w:r>
              <w:rPr/>
              <w:t>)</w:t>
            </w:r>
          </w:p>
        </w:tc>
      </w:tr>
      <w:tr>
        <w:trPr/>
        <w:tc>
          <w:tcPr>
            <w:tcW w:w="3635"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(4,945,666</w:t>
            </w:r>
          </w:p>
        </w:tc>
        <w:tc>
          <w:tcPr>
            <w:tcW w:w="170" w:type="dxa"/>
            <w:tcBorders/>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Net deferred tax assets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tax assets are as follows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5789" w:type="dxa"/>
        <w:jc w:val="left"/>
        <w:tblInd w:w="0" w:type="dxa"/>
        <w:tblLayout w:type="fixed"/>
        <w:tblCellMar>
          <w:top w:w="0" w:type="dxa"/>
          <w:left w:w="0" w:type="dxa"/>
          <w:bottom w:w="0" w:type="dxa"/>
          <w:right w:w="0" w:type="dxa"/>
        </w:tblCellMar>
      </w:tblPr>
      <w:tblGrid>
        <w:gridCol w:w="4025"/>
        <w:gridCol w:w="90"/>
        <w:gridCol w:w="203"/>
        <w:gridCol w:w="1301"/>
        <w:gridCol w:w="170"/>
      </w:tblGrid>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Deferred tax asset (liability):</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Accrual to cash adjustment</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729,287</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Charitable contributions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1,618</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Change in fair value of SAFE agreements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3,106,508</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R&amp;D expenditures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359,433</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R&amp;D tax credit carryovers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239,142</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Right-of-use asset</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(65,999</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Lease liability</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56,893</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Stock options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55,481</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Federal net operating loss carryforwards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304,628</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Foreign net operating loss carryforwards</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10,338</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State net operating loss carryforwards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7,028</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20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tcMar>
              <w:bottom w:w="28" w:type="dxa"/>
            </w:tcMar>
            <w:vAlign w:val="center"/>
          </w:tcPr>
          <w:p>
            <w:pPr>
              <w:pStyle w:val="TableContents"/>
              <w:bidi w:val="0"/>
              <w:spacing w:before="0" w:after="283"/>
              <w:jc w:val="right"/>
              <w:rPr/>
            </w:pPr>
            <w:r>
              <w:rPr/>
              <w:t>(4,804,357</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Net deferred taxes</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 a tabular roll forward of unrecognized tax benefits. As there are no uncertain tax positions recognized, interest and penalties have not been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expensing of U.S. research and development costs under Section 174A.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Retroactive expensing of unamortized U.S. research and development costs capitalized between 2022 and 2024; either all in 2025, or over two years in 2025 and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of the Section 163(j) taxable income base excluding the deductions for depreciation and amortization in 2025 (change from “Tax EBIT” to “Tax EBITDA”).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the Section 250 deduction for Net CFC Tested Income (formerly GILTI) to 40% (from 50%) in 2026, instead of the scheduled decrease to 37.5% prior to the OBBBA.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the Section 250 deduction for foreign-derived income to 33.34% (from 37.5%) in 2026, instead of the scheduled decrease to 21.875% prior to the OBBBA.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the foreign tax credit rate on Net CFC Tested Income (formerly GILTI) to 90% (from 80%), and a 10% disallowance on repatriation, in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the allocation of interest expense and research and development expense to Net CFC Tested Income (formerly GILTI) in calculating the foreign tax credit limitation, effective in 2026.</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the legislation will not have a material impact on the Company’s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14"/>
      <w:bookmarkEnd w:id="22"/>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15"/>
      <w:bookmarkEnd w:id="23"/>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current management, including our CEO and CFO, we evaluated the effectiveness of our disclosure controls and procedures as defined in Rules 13a-15(e) and 15d-15(e) under the Securities Exchange Act of 1934, as amended (the “Exchange Act”), as of December 31, 2025. Based on this evaluation of our disclosure controls and procedures, our CEO and CFO have concluded that our disclosure controls and procedures were not effective as of December 31, 2025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conclusion by our CEO and CFO that our disclosure controls and procedures as of December 31, 2025 were not effective, and notwithstanding the material weaknesses in our internal control over financial reporting described below, management believes that the consolidated financial statements and related financial information included in this Annual Report on Form 10-K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Accounting Personnel and Financial Reporting Controls. </w:t>
      </w:r>
      <w:r>
        <w:rPr>
          <w:rFonts w:ascii="Times New Roman;Times;Serif" w:hAnsi="Times New Roman;Times;Serif"/>
          <w:b w:val="false"/>
          <w:i w:val="false"/>
          <w:caps w:val="false"/>
          <w:smallCaps w:val="false"/>
          <w:sz w:val="20"/>
        </w:rPr>
        <w:t>Management determined that the Company does not 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noted above, for the year ended December 31, 2024, the Company reclassified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total change in cash, net loss, or previously reported balance sheet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Annual Report to reflect these reclassifications as immaterial reclassifications to previously issued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Fair Value Calculation Controls. </w:t>
      </w:r>
      <w:r>
        <w:rPr>
          <w:rFonts w:ascii="Times New Roman;Times;Serif" w:hAnsi="Times New Roman;Times;Serif"/>
          <w:b w:val="false"/>
          <w:i w:val="false"/>
          <w:caps w:val="false"/>
          <w:smallCaps w:val="false"/>
          <w:sz w:val="20"/>
        </w:rPr>
        <w:t>In addition, management identified a material weaknesses in the design of internal controls related to the review of the fair value calculation of SAFE notes performed by a third-party valuation specialist. The controls lacked the precision needed to detect inappropriate inputs that could materially impact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working to develop and implement remediation plans related to the material weakness identified in this section. Remediation efforts include enhancing the design and implementation of controls over the accounting for financial instruments and hiring additional qualified accounting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16"/>
      <w:bookmarkEnd w:id="24"/>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last fiscal quarter, no director or officer, as defined in Rule 16a-1(f), adopted or terminated a “Rule 10b5-1 trading arrangement” or a “non-Rule 10b5-1 trading arrangement,” each as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that Carr, Riggs &amp; Ingram, LLC (“CRI”) acquired, effective as of January 1, 2026, certain assets related to the capital markets practice of Berkowitz Pollack Brant Advisors + CPAs, LLP (“BPB”). On January 13, 2026, the Audit Committee of the Company’s Board of Directors simultaneously dismissed BPB as the Company’s independent registered public accounting firm and approved the appointment of CRI as the Company’s new independent registered public accounting firm. BPB’s audit report on SEE ID, Inc. dba Dot Ai’s consolidated financial statements for the fiscal year ended December 31, 2024 contained no adverse opinion or disclaimer and was not qualified, except for an explanatory paragraph regarding substantial doubt about SEE ID’s ability to continue as a going concern prior to the business combination. During the relevant periods, there were no disagreements or reportable events with BPB, other than previously disclosed material weaknesses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17"/>
      <w:bookmarkEnd w:id="25"/>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8"/>
      <w:bookmarkEnd w:id="26"/>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19"/>
      <w:bookmarkEnd w:id="27"/>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28" w:type="dxa"/>
          <w:right w:w="0" w:type="dxa"/>
        </w:tblCellMar>
      </w:tblPr>
      <w:tblGrid>
        <w:gridCol w:w="1970"/>
        <w:gridCol w:w="90"/>
        <w:gridCol w:w="380"/>
        <w:gridCol w:w="90"/>
        <w:gridCol w:w="4250"/>
      </w:tblGrid>
      <w:tr>
        <w:trPr/>
        <w:tc>
          <w:tcPr>
            <w:tcW w:w="19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center"/>
              <w:rPr/>
            </w:pPr>
            <w:r>
              <w:rPr/>
              <w:t> </w:t>
            </w:r>
          </w:p>
        </w:tc>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(Class III)</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Maddox</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Vijayan Nambiar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Technology Officer</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Sheldon Paul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Newhouse</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Janice Bryant Howroyd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Walter Skowronski</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c>
          <w:tcPr>
            <w:tcW w:w="9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David Carlson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III)</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Saling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90" w:type="dxa"/>
            <w:tcBorders/>
            <w:tcMar>
              <w:bottom w:w="0" w:type="dxa"/>
            </w:tcMar>
            <w:vAlign w:val="center"/>
          </w:tcPr>
          <w:p>
            <w:pPr>
              <w:pStyle w:val="TableContents"/>
              <w:bidi w:val="0"/>
              <w:spacing w:before="0" w:after="283"/>
              <w:jc w:val="center"/>
              <w:rPr/>
            </w:pPr>
            <w:r>
              <w:rPr/>
              <w:t> </w:t>
            </w:r>
          </w:p>
        </w:tc>
        <w:tc>
          <w:tcPr>
            <w:tcW w:w="4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(Class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about each of the individuals named in the tables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Ed Nabrotzky, age 59, </w:t>
      </w:r>
      <w:r>
        <w:rPr>
          <w:rFonts w:ascii="Times New Roman;Times;Serif" w:hAnsi="Times New Roman;Times;Serif"/>
          <w:b w:val="false"/>
          <w:i w:val="false"/>
          <w:caps w:val="false"/>
          <w:smallCaps w:val="false"/>
          <w:sz w:val="20"/>
        </w:rPr>
        <w:t>has served as a director of CID Holdco since 2025 and as Chief Executive Officer of the Company since its formation in 2020. Mr. Nabrotzky is a co-founder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co-founding the Company, Mr. Nabrotzky served as President of Litum from January 2022 to August 2022. From December 2019 to June 2022, he served as an Adjunct Faculty Member at the Simon Business School, University of Rochester. From January 2019 to October 2021, he served as Director, Sales &amp; Strategy 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Charlie Maddox, age 44, </w:t>
      </w:r>
      <w:r>
        <w:rPr>
          <w:rFonts w:ascii="Times New Roman;Times;Serif" w:hAnsi="Times New Roman;Times;Serif"/>
          <w:b w:val="false"/>
          <w:i w:val="false"/>
          <w:caps w:val="false"/>
          <w:smallCaps w:val="false"/>
          <w:sz w:val="20"/>
        </w:rPr>
        <w:t>has served as the Company’s Chief Operating and Chief Financial Officer since April 2024.  He previously was the 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Vijayan Nambiar, age 48,</w:t>
      </w:r>
      <w:r>
        <w:rPr>
          <w:rFonts w:ascii="Times New Roman;Times;Serif" w:hAnsi="Times New Roman;Times;Serif"/>
          <w:b w:val="false"/>
          <w:i w:val="false"/>
          <w:caps w:val="false"/>
          <w:smallCaps w:val="false"/>
          <w:sz w:val="20"/>
        </w:rPr>
        <w:t xml:space="preserve"> has served as Chief Technology Officer of CID Holdco since May 2022. Prior to joining the Company, Mr. Nambiar was a 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Jeff Saling, age 68, </w:t>
      </w:r>
      <w:r>
        <w:rPr>
          <w:rFonts w:ascii="Times New Roman;Times;Serif" w:hAnsi="Times New Roman;Times;Serif"/>
          <w:b w:val="false"/>
          <w:i w:val="false"/>
          <w:caps w:val="false"/>
          <w:smallCaps w:val="false"/>
          <w:sz w:val="20"/>
        </w:rPr>
        <w:t>has served as a member of the Board since June 2025. Mr. Saling is a serial entrepreneur, seasoned executive, and prolific investor 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Janice Bryant Howroyd, age 72,</w:t>
      </w:r>
      <w:r>
        <w:rPr>
          <w:rFonts w:ascii="Times New Roman;Times;Serif" w:hAnsi="Times New Roman;Times;Serif"/>
          <w:b w:val="false"/>
          <w:i w:val="false"/>
          <w:caps w:val="false"/>
          <w:smallCaps w:val="false"/>
          <w:sz w:val="20"/>
        </w:rPr>
        <w:t> has served as a member of the Board since August 2025. Ms. Howroyd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Sheldon W. Paul, age 58, </w:t>
      </w:r>
      <w:r>
        <w:rPr>
          <w:rFonts w:ascii="Times New Roman;Times;Serif" w:hAnsi="Times New Roman;Times;Serif"/>
          <w:b w:val="false"/>
          <w:i w:val="false"/>
          <w:caps w:val="false"/>
          <w:smallCaps w:val="false"/>
          <w:sz w:val="20"/>
        </w:rPr>
        <w:t>has served as a member of the Board since June 2025.  Dr. Paul is an obstetrician-gynecologist in Las Vegas, Nevada and is affiliated with Summerlin Hospital Medical Center. He received his 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Carlson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DO, MBA, age 66,</w:t>
      </w:r>
      <w:r>
        <w:rPr>
          <w:rFonts w:ascii="Times New Roman;Times;Serif" w:hAnsi="Times New Roman;Times;Serif"/>
          <w:b w:val="false"/>
          <w:i w:val="false"/>
          <w:caps w:val="false"/>
          <w:smallCaps w:val="false"/>
          <w:sz w:val="20"/>
        </w:rPr>
        <w:t xml:space="preserve"> has served as a member of the Board since June 2025. Dr. Carlson has been the Chief Medical Officer in South 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Walter Skowronski, age 77, </w:t>
      </w:r>
      <w:r>
        <w:rPr>
          <w:rFonts w:ascii="Times New Roman;Times;Serif" w:hAnsi="Times New Roman;Times;Serif"/>
          <w:b w:val="false"/>
          <w:i w:val="false"/>
          <w:caps w:val="false"/>
          <w:smallCaps w:val="false"/>
          <w:sz w:val="20"/>
        </w:rPr>
        <w:t>has served as a member of the Board since August 2025. Mr. Skowronski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Phyllis Newhouse, age 62, </w:t>
      </w:r>
      <w:r>
        <w:rPr>
          <w:rFonts w:ascii="Times New Roman;Times;Serif" w:hAnsi="Times New Roman;Times;Serif"/>
          <w:b w:val="false"/>
          <w:i w:val="false"/>
          <w:caps w:val="false"/>
          <w:smallCaps w:val="false"/>
          <w:sz w:val="20"/>
        </w:rPr>
        <w:t>has served as a member of the Board since June 2025. Ms. Newhouse previously served as Chief Executive Officer of 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of our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Class I, Class II and Class III, with members of each class serving staggered three-year terms. Currently, our Board is divided into the following classes: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 which consists of Dr. Sheldon Paul and Phyllis Newhouse, whose terms will expire at the first annual meeting of stockholders to be held in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 which consists of Janice Bryant Howroyd and Walter Skowronski whose term will expire at the Company’s second annual meeting of stockholders to be held in 2027;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III, which consists of Edmund Nabrotzky, Dr. David Carlson and Jeff Saling, whose terms will expire at the Company’s third annual meeting of stockholders to be held in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Audit Committee, a Compensation Committee,  a Cybersecurity &amp; Technology Committee and a Nominating and Corporate Governance Committee, each of which has the composition and responsibilities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independence and qualifications of the Company’s independent auditors and determining whether to retain the Company’s existing independent auditors or engage new independent auditors;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259"/>
        <w:gridCol w:w="9810"/>
      </w:tblGrid>
      <w:tr>
        <w:trPr/>
        <w:tc>
          <w:tcPr>
            <w:tcW w:w="1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10" w:type="dxa"/>
            <w:tcBorders/>
            <w:vAlign w:val="center"/>
          </w:tcPr>
          <w:p>
            <w:pPr>
              <w:pStyle w:val="TableContents"/>
              <w:bidi w:val="0"/>
              <w:spacing w:before="0" w:after="283"/>
              <w:jc w:val="left"/>
              <w:rPr/>
            </w:pPr>
            <w:r>
              <w:rPr/>
              <w:t>reviewing the Company’s financial reporting processes and disclosure controls;</w:t>
            </w:r>
          </w:p>
        </w:tc>
      </w:tr>
      <w:tr>
        <w:trPr/>
        <w:tc>
          <w:tcPr>
            <w:tcW w:w="136"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the engagement of the Company’s independent auditors to perform audit services and any permissible non-audit services;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the adequacy and effectiveness of the Company’s internal control policies and procedures, including the responsibilities, budget, staffing and effectiveness of the Company’s internal audit function;</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with the independent auditors the annual audit plan, including the scope of audit activities and all critical accounting policies and practices to be used by the Company;</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obtaining and reviewing at least annually a report by the Company’s independent auditors describing the independent auditors’ internal quality control procedures and any material issues raised by the most recent internal quality-control review;</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monitoring the rotation of partners of the Company’s independent auditors on the Company’s engagement team as required by law;</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with management and the Company’s auditors any earnings announcements and other public announcements regarding material developments;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establishing procedures for the receipt, retention and treatment of complaints received by the Company regarding financial controls, accounting, auditing or other matters;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27"/>
        <w:gridCol w:w="244"/>
        <w:gridCol w:w="9834"/>
      </w:tblGrid>
      <w:tr>
        <w:trPr/>
        <w:tc>
          <w:tcPr>
            <w:tcW w:w="1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left"/>
              <w:rPr/>
            </w:pPr>
            <w:r>
              <w:rPr/>
              <w:t>preparing the report that the SEC requires in the Company’s annual proxy statement;</w:t>
            </w:r>
          </w:p>
        </w:tc>
      </w:tr>
      <w:tr>
        <w:trPr/>
        <w:tc>
          <w:tcPr>
            <w:tcW w:w="127"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providing oversight of any related party transactions in accordance with the Company’s related party transaction policy and reviewing and monitoring compliance with legal and regulatory responsibilities, including the Company’s code of ethics;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the Company’s major financial risk exposures, including the guidelines and policies to govern the process by which risk assessment and risk management is implemented; and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reviewing and evaluating on an annual basis the performance of the Audit Committee and the Audit Committee charter.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Walter Skowronski, Phyllis Newhouse and Dr. David Carlson, with Walter Skowronski serving as the Audit Committee chair. The Board has affirmatively determined that Walter Skowronski, Phyllis Newhouse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the corporate objectives that pertain to the determination of executive compensation;</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the compensation and other terms of employment of the Company’s executive officers;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performance goals and objectives relevant to the compensation of the Company’s executive officers and assessing their performance against these goals and objectives;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making recommendations to the Board regarding the adoption or amendment of equity and cash incentive plans and approving amendments to such plans to the extent authorized by the Board;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making recommendations to the Board regarding the type and amount of compensation to be paid or awarded to the Company’s non-employee board members;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assessing the independence of compensation consultants, legal counsel and other advisors as required by Section 10C of the Exchange Act;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administering the Company’s equity incentive plans, to the extent such authority is delegated by the Board;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the terms of any employment agreements, severance arrangements, change in control protections, indemnification agreements and any other material arrangements for the Company’s executive officers;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preparing an annual report on executive compensation that the SEC requires in the Company’s annual proxy statement; and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reviewing and evaluating on an annual basis the performance of the Compensation Committee and recommending such changes as deemed necessary with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Jeff Saling, Janice Bryant Howroyd and Dr. David Carlson, with Jeff Saling serving as chairman. Our Board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&amp; Technology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&amp; Technology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with management the Company’s cybersecurity threat landscape, policies, controls and incident response preparedness, including escalation procedures to the Board, tabletop exercise testing, and periodic simulations;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reports and metrics on cybersecurity incidents, breaches (actual or attempted), and the Company’s response thereto;</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evaluating the Company’s compliance with cybersecurity and data privacy laws, including SEC, state, and international regulations, and industry standards;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the adequacy and effectiveness of the Company’s technology architecture, platforms and operational resilience;</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overseeing major technology-related projects, digital initiatives, and infrastructure investments;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13"/>
        <w:gridCol w:w="215"/>
        <w:gridCol w:w="9877"/>
      </w:tblGrid>
      <w:tr>
        <w:trPr/>
        <w:tc>
          <w:tcPr>
            <w:tcW w:w="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left"/>
              <w:rPr/>
            </w:pPr>
            <w:r>
              <w:rPr/>
              <w:t>overseeing the Company’s disaster recovery, business infrastructure, and data backup processes;</w:t>
            </w:r>
          </w:p>
        </w:tc>
      </w:tr>
      <w:tr>
        <w:trPr/>
        <w:tc>
          <w:tcPr>
            <w:tcW w:w="11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9"/>
        <w:gridCol w:w="209"/>
        <w:gridCol w:w="9887"/>
      </w:tblGrid>
      <w:tr>
        <w:trPr/>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left"/>
              <w:rPr/>
            </w:pPr>
            <w:r>
              <w:rPr/>
              <w:t>discussing with management the Company’s cyber insurance coverage and reviewing its adequacy;</w:t>
            </w:r>
          </w:p>
        </w:tc>
      </w:tr>
      <w:tr>
        <w:trPr/>
        <w:tc>
          <w:tcPr>
            <w:tcW w:w="1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coordinating with the Audit Committee with respect to any matters that may impact internal controls, financial reporting, or cybersecurity disclosures;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jc w:val="left"/>
              <w:rPr/>
            </w:pPr>
            <w:r>
              <w:rPr/>
              <w:t>evaluating the Company’s cybersecurity workforce, training programs (including executive and board-level cybersecurity education), budget, and</w:t>
            </w:r>
          </w:p>
          <w:p>
            <w:pPr>
              <w:pStyle w:val="TableContents"/>
              <w:bidi w:val="0"/>
              <w:spacing w:before="0" w:after="283"/>
              <w:jc w:val="left"/>
              <w:rPr/>
            </w:pPr>
            <w:r>
              <w:rPr/>
              <w:t>third-party vendor and supply chain risk management processes;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approving policies for oversight of risks arising from use of AI, machine learning, and other emerging technologies;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ensuring appropriate disclosures are made in public filings relating to cybersecurity oversight and risk management;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and recommending for Board approval updates to the Cybersecurity &amp; Technology Committee’s charter on an annual basis;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monitoring the Company’s compliance with cybersecurity disclosure obligations under SEC Regulation S-K Item 106 and Form 8-K Item 1.05, including timely disclosure of material cybersecurity incidents and governance structures;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overseeing management’s third-party risk management practices, including risk assessment and monitoring of key technology vendors and supply chain cybersecurity vulnerabilities; and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reviewing the Company’s training programs and culture-building efforts relating to cybersecurity awareness, including for executives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&amp; Technology Committee consists of Phyllis Newhouse, Edmund Nabrotzky, and Dr. Sheldon Paul, with Phyllis Newhouse serving as chairman. The Board has adopted a written charter for the Cybersecurity &amp; Technology Committee, which is available on our corporate website. The information contained on our website is not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231"/>
        <w:gridCol w:w="9853"/>
      </w:tblGrid>
      <w:tr>
        <w:trPr/>
        <w:tc>
          <w:tcPr>
            <w:tcW w:w="1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853" w:type="dxa"/>
            <w:tcBorders/>
            <w:vAlign w:val="center"/>
          </w:tcPr>
          <w:p>
            <w:pPr>
              <w:pStyle w:val="TableContents"/>
              <w:bidi w:val="0"/>
              <w:spacing w:before="0" w:after="283"/>
              <w:jc w:val="left"/>
              <w:rPr/>
            </w:pPr>
            <w:r>
              <w:rPr/>
              <w:t>identifying, reviewing and making recommendations of candidates to serve on the Board;</w:t>
            </w:r>
          </w:p>
        </w:tc>
      </w:tr>
      <w:tr>
        <w:trPr/>
        <w:tc>
          <w:tcPr>
            <w:tcW w:w="121"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evaluating the performance of the Board, committees of the Board and individual directors and determining whether continued service on the Board is appropriate;</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36"/>
        <w:gridCol w:w="260"/>
        <w:gridCol w:w="9809"/>
      </w:tblGrid>
      <w:tr>
        <w:trPr/>
        <w:tc>
          <w:tcPr>
            <w:tcW w:w="1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left"/>
              <w:rPr/>
            </w:pPr>
            <w:r>
              <w:rPr/>
              <w:t>evaluating nominations by stockholders of candidates for election to the Board;</w:t>
            </w:r>
          </w:p>
        </w:tc>
      </w:tr>
      <w:tr>
        <w:trPr/>
        <w:tc>
          <w:tcPr>
            <w:tcW w:w="13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809"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evaluating the current size, composition and organization of the Board and its committees and making recommendations to the Board for approvals;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developing a set of corporate governance policies and principles and recommending to the Board any changes to such policies and principles;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reviewing issues and developments related to corporate governance and identifying and bringing to the attention of the Board current and emerging corporate governance trends; and</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reviewing periodically the Nominating and Corporate Governance Committee charter, structure and membership requirements and recommending any proposed changes to the Board, including undertaking an annual review of its own performance.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255"/>
        <w:gridCol w:w="9816"/>
      </w:tblGrid>
      <w:tr>
        <w:trPr/>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left"/>
              <w:rPr/>
            </w:pPr>
            <w:r>
              <w:rPr/>
              <w:t>for any transaction from which the director derives an improper personal benefit;</w:t>
            </w:r>
          </w:p>
        </w:tc>
      </w:tr>
      <w:tr>
        <w:trPr/>
        <w:tc>
          <w:tcPr>
            <w:tcW w:w="13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81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for any act or omission not in good faith or that involves intentional misconduct or a knowing violation of law;</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60"/>
        <w:gridCol w:w="306"/>
        <w:gridCol w:w="9739"/>
      </w:tblGrid>
      <w:tr>
        <w:trPr/>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w:t>
            </w:r>
          </w:p>
        </w:tc>
        <w:tc>
          <w:tcPr>
            <w:tcW w:w="9739" w:type="dxa"/>
            <w:tcBorders/>
            <w:vAlign w:val="center"/>
          </w:tcPr>
          <w:p>
            <w:pPr>
              <w:pStyle w:val="TableContents"/>
              <w:bidi w:val="0"/>
              <w:spacing w:before="0" w:after="283"/>
              <w:jc w:val="left"/>
              <w:rPr/>
            </w:pPr>
            <w:r>
              <w:rPr/>
              <w:t>for any unlawful payment of dividends or redemption of shares; or</w:t>
            </w:r>
          </w:p>
        </w:tc>
      </w:tr>
      <w:tr>
        <w:trPr/>
        <w:tc>
          <w:tcPr>
            <w:tcW w:w="1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9739"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85"/>
        <w:gridCol w:w="252"/>
        <w:gridCol w:w="9868"/>
      </w:tblGrid>
      <w:tr>
        <w:trPr/>
        <w:tc>
          <w:tcPr>
            <w:tcW w:w="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left"/>
              <w:rPr/>
            </w:pPr>
            <w:r>
              <w:rPr/>
              <w:t>for any breach of a director’s duty of loyalty to the corporation or its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Business Ethics for Employees, 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service agreements with each of our non-employee directors pursuant to which they are eligible to receive the following cash and equity incentive payments.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Annual Cash Fee: Each non-employee director receives an annual cash fee of $50,000, payable quarterly in arrears.</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Expense Reimbursement: We will reimburse all of our non-employee directors for all reasonable business expenses incurred in in the performance of their services in accordance with our expense reimbursement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grant any option awards to our non-employee directors during 2025. The following table provides information related to the compensation of each of our non-employee directors during the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9713" w:type="dxa"/>
        <w:jc w:val="left"/>
        <w:tblInd w:w="0" w:type="dxa"/>
        <w:tblLayout w:type="fixed"/>
        <w:tblCellMar>
          <w:top w:w="0" w:type="dxa"/>
          <w:left w:w="0" w:type="dxa"/>
          <w:bottom w:w="28" w:type="dxa"/>
          <w:right w:w="0" w:type="dxa"/>
        </w:tblCellMar>
      </w:tblPr>
      <w:tblGrid>
        <w:gridCol w:w="2330"/>
        <w:gridCol w:w="90"/>
        <w:gridCol w:w="690"/>
        <w:gridCol w:w="2884"/>
        <w:gridCol w:w="90"/>
        <w:gridCol w:w="90"/>
        <w:gridCol w:w="378"/>
        <w:gridCol w:w="1846"/>
        <w:gridCol w:w="90"/>
        <w:gridCol w:w="90"/>
        <w:gridCol w:w="170"/>
        <w:gridCol w:w="830"/>
        <w:gridCol w:w="135"/>
      </w:tblGrid>
      <w:tr>
        <w:trPr/>
        <w:tc>
          <w:tcPr>
            <w:tcW w:w="2330"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center"/>
              <w:rPr/>
            </w:pPr>
            <w:r>
              <w:rPr/>
              <w:t> </w:t>
            </w:r>
          </w:p>
        </w:tc>
        <w:tc>
          <w:tcPr>
            <w:tcW w:w="3574" w:type="dxa"/>
            <w:gridSpan w:val="2"/>
            <w:tcBorders>
              <w:bottom w:val="single" w:sz="12" w:space="0" w:color="000000"/>
            </w:tcBorders>
            <w:vAlign w:val="center"/>
          </w:tcPr>
          <w:p>
            <w:pPr>
              <w:pStyle w:val="TableContents"/>
              <w:bidi w:val="0"/>
              <w:spacing w:before="0" w:after="283"/>
              <w:jc w:val="center"/>
              <w:rPr>
                <w:b/>
              </w:rPr>
            </w:pPr>
            <w:r>
              <w:rPr>
                <w:b/>
              </w:rPr>
              <w:t>Fees Earned or Paid in Cash ($)(1)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224" w:type="dxa"/>
            <w:gridSpan w:val="2"/>
            <w:tcBorders>
              <w:bottom w:val="single" w:sz="12" w:space="0" w:color="000000"/>
            </w:tcBorders>
            <w:vAlign w:val="center"/>
          </w:tcPr>
          <w:p>
            <w:pPr>
              <w:pStyle w:val="TableContents"/>
              <w:bidi w:val="0"/>
              <w:spacing w:before="0" w:after="283"/>
              <w:jc w:val="center"/>
              <w:rPr>
                <w:b/>
              </w:rPr>
            </w:pPr>
            <w:r>
              <w:rPr>
                <w:b/>
              </w:rPr>
              <w:t>Option Awards ($)(2)</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135" w:type="dxa"/>
            <w:tcBorders/>
            <w:tcMar>
              <w:bottom w:w="0" w:type="dxa"/>
            </w:tcMar>
            <w:vAlign w:val="center"/>
          </w:tcPr>
          <w:p>
            <w:pPr>
              <w:pStyle w:val="TableContents"/>
              <w:bidi w:val="0"/>
              <w:spacing w:before="0" w:after="283"/>
              <w:jc w:val="center"/>
              <w:rPr/>
            </w:pPr>
            <w:r>
              <w:rPr/>
              <w:t> </w:t>
            </w:r>
          </w:p>
        </w:tc>
      </w:tr>
      <w:tr>
        <w:trPr/>
        <w:tc>
          <w:tcPr>
            <w:tcW w:w="2330" w:type="dxa"/>
            <w:tcBorders/>
            <w:shd w:fill="CCEEFF" w:val="clear"/>
            <w:tcMar>
              <w:bottom w:w="0" w:type="dxa"/>
            </w:tcMar>
            <w:vAlign w:val="center"/>
          </w:tcPr>
          <w:p>
            <w:pPr>
              <w:pStyle w:val="TableContents"/>
              <w:bidi w:val="0"/>
              <w:spacing w:before="0" w:after="283"/>
              <w:jc w:val="left"/>
              <w:rPr>
                <w:b/>
              </w:rPr>
            </w:pPr>
            <w:r>
              <w:rPr>
                <w:b/>
              </w:rPr>
              <w:t>Sheldon Paul, M.D</w:t>
            </w:r>
          </w:p>
        </w:tc>
        <w:tc>
          <w:tcPr>
            <w:tcW w:w="90"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left"/>
              <w:rPr/>
            </w:pPr>
            <w:r>
              <w:rPr/>
              <w:t>$</w:t>
            </w:r>
          </w:p>
        </w:tc>
        <w:tc>
          <w:tcPr>
            <w:tcW w:w="2884" w:type="dxa"/>
            <w:tcBorders/>
            <w:shd w:fill="CCEEFF" w:val="clear"/>
            <w:tcMar>
              <w:bottom w:w="0" w:type="dxa"/>
            </w:tcMar>
            <w:vAlign w:val="center"/>
          </w:tcPr>
          <w:p>
            <w:pPr>
              <w:pStyle w:val="TableContents"/>
              <w:bidi w:val="0"/>
              <w:spacing w:before="0" w:after="283"/>
              <w:jc w:val="right"/>
              <w:rPr/>
            </w:pPr>
            <w:r>
              <w:rPr/>
              <w:t>37,500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pPr>
            <w:r>
              <w:rPr/>
              <w:t>$</w:t>
            </w:r>
          </w:p>
        </w:tc>
        <w:tc>
          <w:tcPr>
            <w:tcW w:w="1846" w:type="dxa"/>
            <w:tcBorders/>
            <w:shd w:fill="CCEEFF" w:val="clear"/>
            <w:tcMar>
              <w:bottom w:w="0" w:type="dxa"/>
            </w:tcMar>
            <w:vAlign w:val="center"/>
          </w:tcPr>
          <w:p>
            <w:pPr>
              <w:pStyle w:val="TableContents"/>
              <w:bidi w:val="0"/>
              <w:spacing w:before="0" w:after="283"/>
              <w:jc w:val="right"/>
              <w:rPr/>
            </w:pPr>
            <w:r>
              <w:rPr/>
              <w:t>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117,500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Phyllis Newhouse</w:t>
            </w:r>
          </w:p>
        </w:tc>
        <w:tc>
          <w:tcPr>
            <w:tcW w:w="90" w:type="dxa"/>
            <w:tcBorders/>
            <w:tcMar>
              <w:bottom w:w="0" w:type="dxa"/>
            </w:tcMar>
            <w:vAlign w:val="center"/>
          </w:tcPr>
          <w:p>
            <w:pPr>
              <w:pStyle w:val="TableContents"/>
              <w:bidi w:val="0"/>
              <w:spacing w:before="0" w:after="283"/>
              <w:jc w:val="left"/>
              <w:rPr/>
            </w:pPr>
            <w:r>
              <w:rPr/>
              <w:t> </w:t>
            </w:r>
          </w:p>
        </w:tc>
        <w:tc>
          <w:tcPr>
            <w:tcW w:w="690" w:type="dxa"/>
            <w:tcBorders/>
            <w:tcMar>
              <w:bottom w:w="0" w:type="dxa"/>
            </w:tcMar>
            <w:vAlign w:val="center"/>
          </w:tcPr>
          <w:p>
            <w:pPr>
              <w:pStyle w:val="TableContents"/>
              <w:bidi w:val="0"/>
              <w:spacing w:before="0" w:after="283"/>
              <w:jc w:val="left"/>
              <w:rPr/>
            </w:pPr>
            <w:r>
              <w:rPr/>
              <w:t>$</w:t>
            </w:r>
          </w:p>
        </w:tc>
        <w:tc>
          <w:tcPr>
            <w:tcW w:w="2884" w:type="dxa"/>
            <w:tcBorders/>
            <w:tcMar>
              <w:bottom w:w="0" w:type="dxa"/>
            </w:tcMar>
            <w:vAlign w:val="center"/>
          </w:tcPr>
          <w:p>
            <w:pPr>
              <w:pStyle w:val="TableContents"/>
              <w:bidi w:val="0"/>
              <w:spacing w:before="0" w:after="283"/>
              <w:jc w:val="right"/>
              <w:rPr/>
            </w:pPr>
            <w:r>
              <w:rPr/>
              <w:t>37,500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8" w:type="dxa"/>
            <w:tcBorders/>
            <w:tcMar>
              <w:bottom w:w="0" w:type="dxa"/>
            </w:tcMar>
            <w:vAlign w:val="center"/>
          </w:tcPr>
          <w:p>
            <w:pPr>
              <w:pStyle w:val="TableContents"/>
              <w:bidi w:val="0"/>
              <w:spacing w:before="0" w:after="283"/>
              <w:jc w:val="left"/>
              <w:rPr/>
            </w:pPr>
            <w:r>
              <w:rPr/>
              <w:t>$</w:t>
            </w:r>
          </w:p>
        </w:tc>
        <w:tc>
          <w:tcPr>
            <w:tcW w:w="1846" w:type="dxa"/>
            <w:tcBorders/>
            <w:tcMar>
              <w:bottom w:w="0" w:type="dxa"/>
            </w:tcMar>
            <w:vAlign w:val="center"/>
          </w:tcPr>
          <w:p>
            <w:pPr>
              <w:pStyle w:val="TableContents"/>
              <w:bidi w:val="0"/>
              <w:spacing w:before="0" w:after="283"/>
              <w:jc w:val="right"/>
              <w:rPr/>
            </w:pPr>
            <w:r>
              <w:rPr/>
              <w:t>105,000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142,500</w:t>
            </w:r>
          </w:p>
        </w:tc>
        <w:tc>
          <w:tcPr>
            <w:tcW w:w="13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Janice Bryant Howroyd</w:t>
            </w:r>
          </w:p>
        </w:tc>
        <w:tc>
          <w:tcPr>
            <w:tcW w:w="90"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left"/>
              <w:rPr/>
            </w:pPr>
            <w:r>
              <w:rPr/>
              <w:t>$</w:t>
            </w:r>
          </w:p>
        </w:tc>
        <w:tc>
          <w:tcPr>
            <w:tcW w:w="2884" w:type="dxa"/>
            <w:tcBorders/>
            <w:shd w:fill="CCEEFF" w:val="clear"/>
            <w:tcMar>
              <w:bottom w:w="0" w:type="dxa"/>
            </w:tcMar>
            <w:vAlign w:val="center"/>
          </w:tcPr>
          <w:p>
            <w:pPr>
              <w:pStyle w:val="TableContents"/>
              <w:bidi w:val="0"/>
              <w:spacing w:before="0" w:after="283"/>
              <w:jc w:val="right"/>
              <w:rPr/>
            </w:pPr>
            <w:r>
              <w:rPr/>
              <w:t>37,500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pPr>
            <w:r>
              <w:rPr/>
              <w:t>$</w:t>
            </w:r>
          </w:p>
        </w:tc>
        <w:tc>
          <w:tcPr>
            <w:tcW w:w="1846" w:type="dxa"/>
            <w:tcBorders/>
            <w:shd w:fill="CCEEFF" w:val="clear"/>
            <w:tcMar>
              <w:bottom w:w="0" w:type="dxa"/>
            </w:tcMar>
            <w:vAlign w:val="center"/>
          </w:tcPr>
          <w:p>
            <w:pPr>
              <w:pStyle w:val="TableContents"/>
              <w:bidi w:val="0"/>
              <w:spacing w:before="0" w:after="283"/>
              <w:jc w:val="right"/>
              <w:rPr/>
            </w:pPr>
            <w:r>
              <w:rPr/>
              <w:t>105,000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142,500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Walter Skowronski</w:t>
            </w:r>
          </w:p>
        </w:tc>
        <w:tc>
          <w:tcPr>
            <w:tcW w:w="90" w:type="dxa"/>
            <w:tcBorders/>
            <w:tcMar>
              <w:bottom w:w="0" w:type="dxa"/>
            </w:tcMar>
            <w:vAlign w:val="center"/>
          </w:tcPr>
          <w:p>
            <w:pPr>
              <w:pStyle w:val="TableContents"/>
              <w:bidi w:val="0"/>
              <w:spacing w:before="0" w:after="283"/>
              <w:jc w:val="left"/>
              <w:rPr/>
            </w:pPr>
            <w:r>
              <w:rPr/>
              <w:t> </w:t>
            </w:r>
          </w:p>
        </w:tc>
        <w:tc>
          <w:tcPr>
            <w:tcW w:w="690" w:type="dxa"/>
            <w:tcBorders/>
            <w:tcMar>
              <w:bottom w:w="0" w:type="dxa"/>
            </w:tcMar>
            <w:vAlign w:val="center"/>
          </w:tcPr>
          <w:p>
            <w:pPr>
              <w:pStyle w:val="TableContents"/>
              <w:bidi w:val="0"/>
              <w:spacing w:before="0" w:after="283"/>
              <w:jc w:val="left"/>
              <w:rPr/>
            </w:pPr>
            <w:r>
              <w:rPr/>
              <w:t>$</w:t>
            </w:r>
          </w:p>
        </w:tc>
        <w:tc>
          <w:tcPr>
            <w:tcW w:w="2884" w:type="dxa"/>
            <w:tcBorders/>
            <w:tcMar>
              <w:bottom w:w="0" w:type="dxa"/>
            </w:tcMar>
            <w:vAlign w:val="center"/>
          </w:tcPr>
          <w:p>
            <w:pPr>
              <w:pStyle w:val="TableContents"/>
              <w:bidi w:val="0"/>
              <w:spacing w:before="0" w:after="283"/>
              <w:jc w:val="right"/>
              <w:rPr/>
            </w:pPr>
            <w:r>
              <w:rPr/>
              <w:t>37,500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8" w:type="dxa"/>
            <w:tcBorders/>
            <w:tcMar>
              <w:bottom w:w="0" w:type="dxa"/>
            </w:tcMar>
            <w:vAlign w:val="center"/>
          </w:tcPr>
          <w:p>
            <w:pPr>
              <w:pStyle w:val="TableContents"/>
              <w:bidi w:val="0"/>
              <w:spacing w:before="0" w:after="283"/>
              <w:jc w:val="left"/>
              <w:rPr/>
            </w:pPr>
            <w:r>
              <w:rPr/>
              <w:t>$</w:t>
            </w:r>
          </w:p>
        </w:tc>
        <w:tc>
          <w:tcPr>
            <w:tcW w:w="1846" w:type="dxa"/>
            <w:tcBorders/>
            <w:tcMar>
              <w:bottom w:w="0" w:type="dxa"/>
            </w:tcMar>
            <w:vAlign w:val="center"/>
          </w:tcPr>
          <w:p>
            <w:pPr>
              <w:pStyle w:val="TableContents"/>
              <w:bidi w:val="0"/>
              <w:spacing w:before="0" w:after="283"/>
              <w:jc w:val="right"/>
              <w:rPr/>
            </w:pPr>
            <w:r>
              <w:rPr/>
              <w:t>105,000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142,500</w:t>
            </w:r>
          </w:p>
        </w:tc>
        <w:tc>
          <w:tcPr>
            <w:tcW w:w="135" w:type="dxa"/>
            <w:tcBorders/>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David Carlson, D.O.</w:t>
            </w:r>
          </w:p>
        </w:tc>
        <w:tc>
          <w:tcPr>
            <w:tcW w:w="90"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left"/>
              <w:rPr/>
            </w:pPr>
            <w:r>
              <w:rPr/>
              <w:t>$</w:t>
            </w:r>
          </w:p>
        </w:tc>
        <w:tc>
          <w:tcPr>
            <w:tcW w:w="2884" w:type="dxa"/>
            <w:tcBorders/>
            <w:shd w:fill="CCEEFF" w:val="clear"/>
            <w:tcMar>
              <w:bottom w:w="0" w:type="dxa"/>
            </w:tcMar>
            <w:vAlign w:val="center"/>
          </w:tcPr>
          <w:p>
            <w:pPr>
              <w:pStyle w:val="TableContents"/>
              <w:bidi w:val="0"/>
              <w:spacing w:before="0" w:after="283"/>
              <w:jc w:val="right"/>
              <w:rPr/>
            </w:pPr>
            <w:r>
              <w:rPr/>
              <w:t>37,500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pPr>
            <w:r>
              <w:rPr/>
              <w:t>$</w:t>
            </w:r>
          </w:p>
        </w:tc>
        <w:tc>
          <w:tcPr>
            <w:tcW w:w="1846" w:type="dxa"/>
            <w:tcBorders/>
            <w:shd w:fill="CCEEFF" w:val="clear"/>
            <w:tcMar>
              <w:bottom w:w="0" w:type="dxa"/>
            </w:tcMar>
            <w:vAlign w:val="center"/>
          </w:tcPr>
          <w:p>
            <w:pPr>
              <w:pStyle w:val="TableContents"/>
              <w:bidi w:val="0"/>
              <w:spacing w:before="0" w:after="283"/>
              <w:jc w:val="right"/>
              <w:rPr/>
            </w:pPr>
            <w:r>
              <w:rPr/>
              <w:t>105,000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142,500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tcMar>
              <w:bottom w:w="0" w:type="dxa"/>
            </w:tcMar>
            <w:vAlign w:val="center"/>
          </w:tcPr>
          <w:p>
            <w:pPr>
              <w:pStyle w:val="TableContents"/>
              <w:bidi w:val="0"/>
              <w:spacing w:before="0" w:after="283"/>
              <w:jc w:val="left"/>
              <w:rPr/>
            </w:pPr>
            <w:r>
              <w:rPr/>
              <w:t>Jeff Saling</w:t>
            </w:r>
          </w:p>
        </w:tc>
        <w:tc>
          <w:tcPr>
            <w:tcW w:w="90" w:type="dxa"/>
            <w:tcBorders/>
            <w:tcMar>
              <w:bottom w:w="0" w:type="dxa"/>
            </w:tcMar>
            <w:vAlign w:val="center"/>
          </w:tcPr>
          <w:p>
            <w:pPr>
              <w:pStyle w:val="TableContents"/>
              <w:bidi w:val="0"/>
              <w:spacing w:before="0" w:after="283"/>
              <w:jc w:val="left"/>
              <w:rPr/>
            </w:pPr>
            <w:r>
              <w:rPr/>
              <w:t> </w:t>
            </w:r>
          </w:p>
        </w:tc>
        <w:tc>
          <w:tcPr>
            <w:tcW w:w="690" w:type="dxa"/>
            <w:tcBorders/>
            <w:tcMar>
              <w:bottom w:w="0" w:type="dxa"/>
            </w:tcMar>
            <w:vAlign w:val="center"/>
          </w:tcPr>
          <w:p>
            <w:pPr>
              <w:pStyle w:val="TableContents"/>
              <w:bidi w:val="0"/>
              <w:spacing w:before="0" w:after="283"/>
              <w:jc w:val="left"/>
              <w:rPr/>
            </w:pPr>
            <w:r>
              <w:rPr/>
              <w:t>$</w:t>
            </w:r>
          </w:p>
        </w:tc>
        <w:tc>
          <w:tcPr>
            <w:tcW w:w="2884" w:type="dxa"/>
            <w:tcBorders/>
            <w:tcMar>
              <w:bottom w:w="0" w:type="dxa"/>
            </w:tcMar>
            <w:vAlign w:val="center"/>
          </w:tcPr>
          <w:p>
            <w:pPr>
              <w:pStyle w:val="TableContents"/>
              <w:bidi w:val="0"/>
              <w:spacing w:before="0" w:after="283"/>
              <w:jc w:val="right"/>
              <w:rPr/>
            </w:pPr>
            <w:r>
              <w:rPr/>
              <w:t>37,500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8" w:type="dxa"/>
            <w:tcBorders/>
            <w:tcMar>
              <w:bottom w:w="0" w:type="dxa"/>
            </w:tcMar>
            <w:vAlign w:val="center"/>
          </w:tcPr>
          <w:p>
            <w:pPr>
              <w:pStyle w:val="TableContents"/>
              <w:bidi w:val="0"/>
              <w:spacing w:before="0" w:after="283"/>
              <w:jc w:val="left"/>
              <w:rPr/>
            </w:pPr>
            <w:r>
              <w:rPr/>
              <w:t>$</w:t>
            </w:r>
          </w:p>
        </w:tc>
        <w:tc>
          <w:tcPr>
            <w:tcW w:w="1846" w:type="dxa"/>
            <w:tcBorders/>
            <w:tcMar>
              <w:bottom w:w="0" w:type="dxa"/>
            </w:tcMar>
            <w:vAlign w:val="center"/>
          </w:tcPr>
          <w:p>
            <w:pPr>
              <w:pStyle w:val="TableContents"/>
              <w:bidi w:val="0"/>
              <w:spacing w:before="0" w:after="283"/>
              <w:jc w:val="right"/>
              <w:rPr/>
            </w:pPr>
            <w:r>
              <w:rPr/>
              <w:t>105,000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142,500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90"/>
        <w:gridCol w:w="665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value of the annual retainers payable to our non-employee directors.</w:t>
            </w:r>
          </w:p>
        </w:tc>
      </w:tr>
    </w:tbl>
    <w:tbl>
      <w:tblPr>
        <w:tblW w:w="8275" w:type="dxa"/>
        <w:jc w:val="left"/>
        <w:tblInd w:w="0" w:type="dxa"/>
        <w:tblLayout w:type="fixed"/>
        <w:tblCellMar>
          <w:top w:w="0" w:type="dxa"/>
          <w:left w:w="0" w:type="dxa"/>
          <w:bottom w:w="0" w:type="dxa"/>
          <w:right w:w="0" w:type="dxa"/>
        </w:tblCellMar>
      </w:tblPr>
      <w:tblGrid>
        <w:gridCol w:w="290"/>
        <w:gridCol w:w="79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earned, we did not grant any option awards to our non-employee directors during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0"/>
      <w:bookmarkEnd w:id="28"/>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executives are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6"/>
        <w:gridCol w:w="488"/>
        <w:gridCol w:w="9461"/>
      </w:tblGrid>
      <w:tr>
        <w:trPr/>
        <w:tc>
          <w:tcPr>
            <w:tcW w:w="2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w:t>
            </w:r>
          </w:p>
        </w:tc>
        <w:tc>
          <w:tcPr>
            <w:tcW w:w="9461" w:type="dxa"/>
            <w:tcBorders/>
            <w:vAlign w:val="center"/>
          </w:tcPr>
          <w:p>
            <w:pPr>
              <w:pStyle w:val="TableContents"/>
              <w:bidi w:val="0"/>
              <w:spacing w:before="0" w:after="283"/>
              <w:jc w:val="left"/>
              <w:rPr/>
            </w:pPr>
            <w:r>
              <w:rPr/>
              <w:t>Ed Nabrotzky, Chief Executive Officer;</w:t>
            </w:r>
          </w:p>
        </w:tc>
      </w:tr>
      <w:tr>
        <w:trPr/>
        <w:tc>
          <w:tcPr>
            <w:tcW w:w="256"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49"/>
        <w:gridCol w:w="285"/>
        <w:gridCol w:w="9771"/>
      </w:tblGrid>
      <w:tr>
        <w:trPr/>
        <w:tc>
          <w:tcPr>
            <w:tcW w:w="1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left"/>
              <w:rPr/>
            </w:pPr>
            <w:r>
              <w:rPr/>
              <w:t>Charles Maddox, Chief Financial Officer/Chief Operations Officer; and</w:t>
            </w:r>
          </w:p>
        </w:tc>
      </w:tr>
      <w:tr>
        <w:trPr/>
        <w:tc>
          <w:tcPr>
            <w:tcW w:w="149"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77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49"/>
        <w:gridCol w:w="440"/>
        <w:gridCol w:w="9616"/>
      </w:tblGrid>
      <w:tr>
        <w:trPr/>
        <w:tc>
          <w:tcPr>
            <w:tcW w:w="14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pPr>
            <w:r>
              <w:rPr/>
              <w:t>Vijayan Nambiar, Chief Technology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of SEE ID’s named executive officers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1790" w:type="dxa"/>
        <w:jc w:val="left"/>
        <w:tblInd w:w="0" w:type="dxa"/>
        <w:tblLayout w:type="fixed"/>
        <w:tblCellMar>
          <w:top w:w="0" w:type="dxa"/>
          <w:left w:w="0" w:type="dxa"/>
          <w:bottom w:w="28" w:type="dxa"/>
          <w:right w:w="0" w:type="dxa"/>
        </w:tblCellMar>
      </w:tblPr>
      <w:tblGrid>
        <w:gridCol w:w="2975"/>
        <w:gridCol w:w="90"/>
        <w:gridCol w:w="560"/>
        <w:gridCol w:w="90"/>
        <w:gridCol w:w="90"/>
        <w:gridCol w:w="170"/>
        <w:gridCol w:w="830"/>
        <w:gridCol w:w="90"/>
        <w:gridCol w:w="90"/>
        <w:gridCol w:w="203"/>
        <w:gridCol w:w="657"/>
        <w:gridCol w:w="90"/>
        <w:gridCol w:w="90"/>
        <w:gridCol w:w="360"/>
        <w:gridCol w:w="1160"/>
        <w:gridCol w:w="90"/>
        <w:gridCol w:w="90"/>
        <w:gridCol w:w="203"/>
        <w:gridCol w:w="492"/>
        <w:gridCol w:w="90"/>
        <w:gridCol w:w="90"/>
        <w:gridCol w:w="258"/>
        <w:gridCol w:w="1262"/>
        <w:gridCol w:w="245"/>
        <w:gridCol w:w="90"/>
        <w:gridCol w:w="170"/>
        <w:gridCol w:w="830"/>
        <w:gridCol w:w="335"/>
      </w:tblGrid>
      <w:tr>
        <w:trPr/>
        <w:tc>
          <w:tcPr>
            <w:tcW w:w="2975" w:type="dxa"/>
            <w:tcBorders>
              <w:bottom w:val="single" w:sz="12" w:space="0" w:color="000000"/>
            </w:tcBorders>
            <w:vAlign w:val="center"/>
          </w:tcPr>
          <w:p>
            <w:pPr>
              <w:pStyle w:val="TableContents"/>
              <w:bidi w:val="0"/>
              <w:spacing w:before="0" w:after="283"/>
              <w:jc w:val="center"/>
              <w:rPr>
                <w:b/>
              </w:rPr>
            </w:pPr>
            <w:r>
              <w:rPr>
                <w:b/>
              </w:rPr>
              <w:t>Name and Principal Position</w:t>
            </w:r>
          </w:p>
        </w:tc>
        <w:tc>
          <w:tcPr>
            <w:tcW w:w="90" w:type="dxa"/>
            <w:tcBorders/>
            <w:tcMar>
              <w:bottom w:w="0" w:type="dxa"/>
            </w:tcMar>
            <w:vAlign w:val="center"/>
          </w:tcPr>
          <w:p>
            <w:pPr>
              <w:pStyle w:val="TableContents"/>
              <w:bidi w:val="0"/>
              <w:spacing w:before="0" w:after="283"/>
              <w:jc w:val="center"/>
              <w:rPr/>
            </w:pPr>
            <w:r>
              <w:rPr/>
              <w:t> </w:t>
            </w:r>
          </w:p>
        </w:tc>
        <w:tc>
          <w:tcPr>
            <w:tcW w:w="560" w:type="dxa"/>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 Awards</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Nonequity Incentive Compensation</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Bonus</w:t>
              <w:br/>
              <w: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 Compensation</w:t>
              <w:br/>
              <w:t>($)</w:t>
            </w:r>
          </w:p>
        </w:tc>
        <w:tc>
          <w:tcPr>
            <w:tcW w:w="2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335" w:type="dxa"/>
            <w:tcBorders/>
            <w:tcMar>
              <w:bottom w:w="0" w:type="dxa"/>
            </w:tcMar>
            <w:vAlign w:val="center"/>
          </w:tcPr>
          <w:p>
            <w:pPr>
              <w:pStyle w:val="TableContents"/>
              <w:bidi w:val="0"/>
              <w:spacing w:before="0" w:after="283"/>
              <w:jc w:val="center"/>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Ed Nabrotzky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285,384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357,500</w:t>
            </w:r>
          </w:p>
        </w:tc>
        <w:tc>
          <w:tcPr>
            <w:tcW w:w="245" w:type="dxa"/>
            <w:tcBorders/>
            <w:shd w:fill="CCEEFF" w:val="clear"/>
            <w:tcMar>
              <w:bottom w:w="0" w:type="dxa"/>
            </w:tcMar>
            <w:vAlign w:val="center"/>
          </w:tcPr>
          <w:p>
            <w:pPr>
              <w:pStyle w:val="TableContents"/>
              <w:bidi w:val="0"/>
              <w:spacing w:before="0" w:after="283"/>
              <w:jc w:val="left"/>
              <w:rPr/>
            </w:pPr>
            <w:r>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642,884</w:t>
            </w:r>
          </w:p>
        </w:tc>
        <w:tc>
          <w:tcPr>
            <w:tcW w:w="33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5,821</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235,821</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pPr>
            <w:r>
              <w:rPr/>
              <w:t>Charles Maddox</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263,958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w:t>
            </w:r>
          </w:p>
        </w:tc>
        <w:tc>
          <w:tcPr>
            <w:tcW w:w="492" w:type="dxa"/>
            <w:tcBorders/>
            <w:tcMar>
              <w:bottom w:w="0" w:type="dxa"/>
            </w:tcMar>
            <w:vAlign w:val="center"/>
          </w:tcPr>
          <w:p>
            <w:pPr>
              <w:pStyle w:val="TableContents"/>
              <w:bidi w:val="0"/>
              <w:spacing w:before="0" w:after="283"/>
              <w:jc w:val="right"/>
              <w:rPr/>
            </w:pPr>
            <w:r>
              <w:rPr/>
              <w:t>600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w:t>
            </w:r>
          </w:p>
        </w:tc>
        <w:tc>
          <w:tcPr>
            <w:tcW w:w="1262" w:type="dxa"/>
            <w:tcBorders/>
            <w:tcMar>
              <w:bottom w:w="0" w:type="dxa"/>
            </w:tcMar>
            <w:vAlign w:val="center"/>
          </w:tcPr>
          <w:p>
            <w:pPr>
              <w:pStyle w:val="TableContents"/>
              <w:bidi w:val="0"/>
              <w:spacing w:before="0" w:after="283"/>
              <w:jc w:val="right"/>
              <w:rPr/>
            </w:pPr>
            <w:r>
              <w:rPr/>
              <w:t>250,000</w:t>
            </w:r>
          </w:p>
        </w:tc>
        <w:tc>
          <w:tcPr>
            <w:tcW w:w="245" w:type="dxa"/>
            <w:tcBorders/>
            <w:tcMar>
              <w:bottom w:w="0" w:type="dxa"/>
            </w:tcMar>
            <w:vAlign w:val="center"/>
          </w:tcPr>
          <w:p>
            <w:pPr>
              <w:pStyle w:val="TableContents"/>
              <w:bidi w:val="0"/>
              <w:spacing w:before="0" w:after="283"/>
              <w:jc w:val="left"/>
              <w:rPr/>
            </w:pPr>
            <w:r>
              <w:rPr/>
              <w:t>(2)</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514,558</w:t>
            </w:r>
          </w:p>
        </w:tc>
        <w:tc>
          <w:tcPr>
            <w:tcW w:w="335" w:type="dxa"/>
            <w:tcBorders/>
            <w:tcMar>
              <w:bottom w:w="0" w:type="dxa"/>
            </w:tcMar>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i/>
              </w:rPr>
            </w:pPr>
            <w:r>
              <w:rPr>
                <w:i/>
              </w:rPr>
              <w:t>Chief Financial Officer/Chief Operations Officer</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230,000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65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49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 w:type="dxa"/>
            <w:tcBorders/>
            <w:tcMar>
              <w:bottom w:w="0" w:type="dxa"/>
            </w:tcMar>
            <w:vAlign w:val="center"/>
          </w:tcPr>
          <w:p>
            <w:pPr>
              <w:pStyle w:val="TableContents"/>
              <w:bidi w:val="0"/>
              <w:spacing w:before="0" w:after="283"/>
              <w:jc w:val="left"/>
              <w:rPr/>
            </w:pPr>
            <w:r>
              <w:rPr/>
              <w:t> </w:t>
            </w:r>
          </w:p>
        </w:tc>
        <w:tc>
          <w:tcPr>
            <w:tcW w:w="1262"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230,000</w:t>
            </w:r>
          </w:p>
        </w:tc>
        <w:tc>
          <w:tcPr>
            <w:tcW w:w="335"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Vijayan Nambiar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276,154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w:t>
            </w:r>
          </w:p>
        </w:tc>
        <w:tc>
          <w:tcPr>
            <w:tcW w:w="1262" w:type="dxa"/>
            <w:tcBorders/>
            <w:shd w:fill="CCEEFF" w:val="clear"/>
            <w:tcMar>
              <w:bottom w:w="0" w:type="dxa"/>
            </w:tcMar>
            <w:vAlign w:val="center"/>
          </w:tcPr>
          <w:p>
            <w:pPr>
              <w:pStyle w:val="TableContents"/>
              <w:bidi w:val="0"/>
              <w:spacing w:before="0" w:after="283"/>
              <w:jc w:val="right"/>
              <w:rPr/>
            </w:pPr>
            <w:r>
              <w:rPr/>
              <w:t>200,000</w:t>
            </w:r>
          </w:p>
        </w:tc>
        <w:tc>
          <w:tcPr>
            <w:tcW w:w="245" w:type="dxa"/>
            <w:tcBorders/>
            <w:shd w:fill="CCEEFF" w:val="clear"/>
            <w:tcMar>
              <w:bottom w:w="0" w:type="dxa"/>
            </w:tcMar>
            <w:vAlign w:val="center"/>
          </w:tcPr>
          <w:p>
            <w:pPr>
              <w:pStyle w:val="TableContents"/>
              <w:bidi w:val="0"/>
              <w:spacing w:before="0" w:after="283"/>
              <w:jc w:val="left"/>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476,154</w:t>
            </w:r>
          </w:p>
        </w:tc>
        <w:tc>
          <w:tcPr>
            <w:tcW w:w="33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i/>
              </w:rPr>
            </w:pPr>
            <w:r>
              <w:rPr>
                <w:i/>
              </w:rPr>
              <w:t>Chief Technology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65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262" w:type="dxa"/>
            <w:tcBorders/>
            <w:shd w:fill="CCEEFF" w:val="clear"/>
            <w:tcMar>
              <w:bottom w:w="0" w:type="dxa"/>
            </w:tcM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230,000</w:t>
            </w:r>
          </w:p>
        </w:tc>
        <w:tc>
          <w:tcPr>
            <w:tcW w:w="3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include $320,000 transaction bonus paid in connection with the closing of the Business Combination, and $37,500 in fees for service as a member of the Board of Directors.</w:t>
            </w:r>
          </w:p>
        </w:tc>
      </w:tr>
    </w:tbl>
    <w:tbl>
      <w:tblPr>
        <w:tblW w:w="7645" w:type="dxa"/>
        <w:jc w:val="left"/>
        <w:tblInd w:w="0" w:type="dxa"/>
        <w:tblLayout w:type="fixed"/>
        <w:tblCellMar>
          <w:top w:w="0" w:type="dxa"/>
          <w:left w:w="0" w:type="dxa"/>
          <w:bottom w:w="0" w:type="dxa"/>
          <w:right w:w="0" w:type="dxa"/>
        </w:tblCellMar>
      </w:tblPr>
      <w:tblGrid>
        <w:gridCol w:w="290"/>
        <w:gridCol w:w="73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include transaction bonuses paid in connection with the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Narrative Disclosure to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Times;Serif" w:hAnsi="Times New Roman;Times;Serif"/>
          <w:b w:val="false"/>
          <w:i/>
          <w:caps w:val="false"/>
          <w:smallCaps w:val="false"/>
          <w:sz w:val="20"/>
        </w:rPr>
        <w:t>Employment and Termination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Bonus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Combination Change of Control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354"/>
        <w:gridCol w:w="9666"/>
      </w:tblGrid>
      <w:tr>
        <w:trPr/>
        <w:tc>
          <w:tcPr>
            <w:tcW w:w="1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666" w:type="dxa"/>
            <w:tcBorders/>
            <w:vAlign w:val="center"/>
          </w:tcPr>
          <w:p>
            <w:pPr>
              <w:pStyle w:val="TableContents"/>
              <w:bidi w:val="0"/>
              <w:spacing w:before="0" w:after="283"/>
              <w:jc w:val="left"/>
              <w:rPr/>
            </w:pPr>
            <w:r>
              <w:rPr/>
              <w:t>Edmund Nabrotzky (Chief Executive Officer): $320,000</w:t>
            </w:r>
          </w:p>
        </w:tc>
      </w:tr>
      <w:tr>
        <w:trPr/>
        <w:tc>
          <w:tcPr>
            <w:tcW w:w="18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37"/>
        <w:gridCol w:w="261"/>
        <w:gridCol w:w="9807"/>
      </w:tblGrid>
      <w:tr>
        <w:trPr/>
        <w:tc>
          <w:tcPr>
            <w:tcW w:w="1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07" w:type="dxa"/>
            <w:tcBorders/>
            <w:vAlign w:val="center"/>
          </w:tcPr>
          <w:p>
            <w:pPr>
              <w:pStyle w:val="TableContents"/>
              <w:bidi w:val="0"/>
              <w:spacing w:before="0" w:after="283"/>
              <w:jc w:val="left"/>
              <w:rPr/>
            </w:pPr>
            <w:r>
              <w:rPr/>
              <w:t>Charles Maddox (Chief Financial Officer/Chief Operations Officer): $250,000</w:t>
            </w:r>
          </w:p>
        </w:tc>
      </w:tr>
      <w:tr>
        <w:trPr/>
        <w:tc>
          <w:tcPr>
            <w:tcW w:w="137"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80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21"/>
        <w:gridCol w:w="359"/>
        <w:gridCol w:w="9725"/>
      </w:tblGrid>
      <w:tr>
        <w:trPr/>
        <w:tc>
          <w:tcPr>
            <w:tcW w:w="1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Vijayan Nambiar (Chief Technology Officer): $200,000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maintain a 401(k) or any other retirement savings plan for our employees.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Termination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description of the employment agreements with the NEOs during 2025. Each employment agreement does not have a specific term and provides that the applicable named executive officer is an at-will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Edmund Nabrotzky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Edmund Nabrotzky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Charles Maddox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Charles Maddox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Vijayan Nambiar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between Vijayan Nambiar and SEE ID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outstanding option awards held by the Company’s named executive officers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8"/>
        <w:gridCol w:w="90"/>
        <w:gridCol w:w="1005"/>
        <w:gridCol w:w="90"/>
        <w:gridCol w:w="209"/>
        <w:gridCol w:w="1944"/>
        <w:gridCol w:w="416"/>
        <w:gridCol w:w="90"/>
        <w:gridCol w:w="252"/>
        <w:gridCol w:w="1995"/>
        <w:gridCol w:w="90"/>
        <w:gridCol w:w="90"/>
        <w:gridCol w:w="181"/>
        <w:gridCol w:w="760"/>
        <w:gridCol w:w="90"/>
        <w:gridCol w:w="90"/>
        <w:gridCol w:w="1195"/>
      </w:tblGrid>
      <w:tr>
        <w:trPr/>
        <w:tc>
          <w:tcPr>
            <w:tcW w:w="16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02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center"/>
              <w:rPr/>
            </w:pPr>
            <w:r>
              <w:rPr/>
              <w:t> </w:t>
            </w:r>
          </w:p>
        </w:tc>
      </w:tr>
      <w:tr>
        <w:trPr/>
        <w:tc>
          <w:tcPr>
            <w:tcW w:w="1618"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005" w:type="dxa"/>
            <w:tcBorders>
              <w:bottom w:val="single" w:sz="12" w:space="0" w:color="000000"/>
            </w:tcBorders>
            <w:tcMar>
              <w:bottom w:w="28" w:type="dxa"/>
            </w:tcMar>
            <w:vAlign w:val="center"/>
          </w:tcPr>
          <w:p>
            <w:pPr>
              <w:pStyle w:val="TableContents"/>
              <w:bidi w:val="0"/>
              <w:spacing w:before="0" w:after="283"/>
              <w:jc w:val="center"/>
              <w:rPr>
                <w:b/>
              </w:rPr>
            </w:pPr>
            <w:r>
              <w:rPr>
                <w:b/>
              </w:rPr>
              <w:t>Grant Date</w:t>
            </w:r>
          </w:p>
        </w:tc>
        <w:tc>
          <w:tcPr>
            <w:tcW w:w="90" w:type="dxa"/>
            <w:tcBorders/>
            <w:vAlign w:val="center"/>
          </w:tcPr>
          <w:p>
            <w:pPr>
              <w:pStyle w:val="TableContents"/>
              <w:bidi w:val="0"/>
              <w:spacing w:before="0" w:after="283"/>
              <w:jc w:val="left"/>
              <w:rPr/>
            </w:pPr>
            <w:r>
              <w:rPr/>
              <w:t> </w:t>
            </w:r>
          </w:p>
        </w:tc>
        <w:tc>
          <w:tcPr>
            <w:tcW w:w="2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w:t>
              <w:br/>
              <w:t>Options</w:t>
              <w:br/>
              <w:t>(#) Exercisable</w:t>
            </w:r>
          </w:p>
        </w:tc>
        <w:tc>
          <w:tcPr>
            <w:tcW w:w="4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w:t>
              <w:br/>
              <w:t xml:space="preserve">Options </w:t>
              <w:br/>
              <w:t>(#) Unexercisable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Exercise</w:t>
              <w:br/>
              <w:t>Price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r>
      <w:tr>
        <w:trPr/>
        <w:tc>
          <w:tcPr>
            <w:tcW w:w="1618" w:type="dxa"/>
            <w:tcBorders/>
            <w:vAlign w:val="center"/>
          </w:tcPr>
          <w:p>
            <w:pPr>
              <w:pStyle w:val="TableContents"/>
              <w:bidi w:val="0"/>
              <w:spacing w:before="0" w:after="283"/>
              <w:jc w:val="left"/>
              <w:rPr/>
            </w:pPr>
            <w:r>
              <w:rPr/>
              <w:t>Edmund Nabrotzky</w:t>
            </w:r>
          </w:p>
        </w:tc>
        <w:tc>
          <w:tcPr>
            <w:tcW w:w="9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center"/>
              <w:rPr/>
            </w:pPr>
            <w:r>
              <w:rPr/>
              <w:t>9/1/2021</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44" w:type="dxa"/>
            <w:tcBorders/>
            <w:vAlign w:val="center"/>
          </w:tcPr>
          <w:p>
            <w:pPr>
              <w:pStyle w:val="TableContents"/>
              <w:bidi w:val="0"/>
              <w:spacing w:before="0" w:after="283"/>
              <w:jc w:val="right"/>
              <w:rPr/>
            </w:pPr>
            <w:r>
              <w:rPr/>
              <w:t>136,572</w:t>
            </w:r>
          </w:p>
        </w:tc>
        <w:tc>
          <w:tcPr>
            <w:tcW w:w="416" w:type="dxa"/>
            <w:tcBorders/>
            <w:vAlign w:val="center"/>
          </w:tcPr>
          <w:p>
            <w:pPr>
              <w:pStyle w:val="TableContents"/>
              <w:bidi w:val="0"/>
              <w:spacing w:before="0" w:after="283"/>
              <w:jc w:val="left"/>
              <w:rPr>
                <w:position w:val="8"/>
                <w:sz w:val="19"/>
              </w:rPr>
            </w:pPr>
            <w:r>
              <w:rPr>
                <w:position w:val="8"/>
                <w:sz w:val="19"/>
              </w:rPr>
              <w:t>(1)(2)</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right"/>
              <w:rPr/>
            </w:pPr>
            <w:r>
              <w:rPr/>
              <w:t>34,143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0.1758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center"/>
              <w:rPr/>
            </w:pPr>
            <w:r>
              <w:rPr/>
              <w:t>9/1/2031</w:t>
            </w:r>
          </w:p>
        </w:tc>
      </w:tr>
      <w:tr>
        <w:trPr/>
        <w:tc>
          <w:tcPr>
            <w:tcW w:w="1618" w:type="dxa"/>
            <w:tcBorders/>
            <w:shd w:fill="CCEEFF" w:val="clear"/>
            <w:vAlign w:val="center"/>
          </w:tcPr>
          <w:p>
            <w:pPr>
              <w:pStyle w:val="TableContents"/>
              <w:bidi w:val="0"/>
              <w:spacing w:before="0" w:after="283"/>
              <w:jc w:val="left"/>
              <w:rPr/>
            </w:pPr>
            <w:r>
              <w:rPr/>
              <w:t>Chales Maddox</w:t>
            </w:r>
          </w:p>
        </w:tc>
        <w:tc>
          <w:tcPr>
            <w:tcW w:w="9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pPr>
            <w:r>
              <w:rPr/>
              <w:t>9/1/2021</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136,572</w:t>
            </w:r>
          </w:p>
        </w:tc>
        <w:tc>
          <w:tcPr>
            <w:tcW w:w="416" w:type="dxa"/>
            <w:tcBorders/>
            <w:shd w:fill="CCEEFF" w:val="clear"/>
            <w:vAlign w:val="center"/>
          </w:tcPr>
          <w:p>
            <w:pPr>
              <w:pStyle w:val="TableContents"/>
              <w:bidi w:val="0"/>
              <w:spacing w:before="0" w:after="283"/>
              <w:jc w:val="left"/>
              <w:rPr>
                <w:position w:val="8"/>
                <w:sz w:val="19"/>
              </w:rPr>
            </w:pPr>
            <w:r>
              <w:rPr>
                <w:position w:val="8"/>
                <w:sz w:val="19"/>
              </w:rPr>
              <w:t>(1)(2)</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pPr>
            <w:r>
              <w:rPr/>
              <w:t>34,143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0.1758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center"/>
              <w:rPr/>
            </w:pPr>
            <w:r>
              <w:rPr/>
              <w:t>9/1/2031</w:t>
            </w:r>
          </w:p>
        </w:tc>
      </w:tr>
      <w:tr>
        <w:trPr/>
        <w:tc>
          <w:tcPr>
            <w:tcW w:w="1618" w:type="dxa"/>
            <w:tcBorders/>
            <w:vAlign w:val="center"/>
          </w:tcPr>
          <w:p>
            <w:pPr>
              <w:pStyle w:val="TableContents"/>
              <w:bidi w:val="0"/>
              <w:spacing w:before="0" w:after="283"/>
              <w:jc w:val="left"/>
              <w:rPr/>
            </w:pPr>
            <w:r>
              <w:rPr/>
              <w:t>Vijayan Nambiar</w:t>
            </w:r>
          </w:p>
        </w:tc>
        <w:tc>
          <w:tcPr>
            <w:tcW w:w="9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center"/>
              <w:rPr/>
            </w:pPr>
            <w:r>
              <w:rPr/>
              <w:t>5/7/2022</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44" w:type="dxa"/>
            <w:tcBorders/>
            <w:vAlign w:val="center"/>
          </w:tcPr>
          <w:p>
            <w:pPr>
              <w:pStyle w:val="TableContents"/>
              <w:bidi w:val="0"/>
              <w:spacing w:before="0" w:after="283"/>
              <w:jc w:val="right"/>
              <w:rPr/>
            </w:pPr>
            <w:r>
              <w:rPr/>
              <w:t>518,242</w:t>
            </w:r>
          </w:p>
        </w:tc>
        <w:tc>
          <w:tcPr>
            <w:tcW w:w="416"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0.0516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center"/>
              <w:rPr/>
            </w:pPr>
            <w:r>
              <w:rPr/>
              <w:t>5/7/2032</w:t>
            </w:r>
          </w:p>
        </w:tc>
      </w:tr>
      <w:tr>
        <w:trPr/>
        <w:tc>
          <w:tcPr>
            <w:tcW w:w="1618" w:type="dxa"/>
            <w:tcBorders/>
            <w:shd w:fill="CCEEFF" w:val="clear"/>
            <w:vAlign w:val="center"/>
          </w:tcPr>
          <w:p>
            <w:pPr>
              <w:pStyle w:val="TableContents"/>
              <w:bidi w:val="0"/>
              <w:spacing w:before="0" w:after="283"/>
              <w:jc w:val="left"/>
              <w:rPr/>
            </w:pPr>
            <w:r>
              <w:rPr/>
              <w:t>Vijayan Nambiar</w:t>
            </w:r>
          </w:p>
        </w:tc>
        <w:tc>
          <w:tcPr>
            <w:tcW w:w="9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center"/>
              <w:rPr/>
            </w:pPr>
            <w:r>
              <w:rPr/>
              <w:t>5/7/2022</w:t>
            </w:r>
          </w:p>
        </w:tc>
        <w:tc>
          <w:tcPr>
            <w:tcW w:w="9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518,242</w:t>
            </w:r>
          </w:p>
        </w:tc>
        <w:tc>
          <w:tcPr>
            <w:tcW w:w="416"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0.0516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center"/>
              <w:rPr/>
            </w:pPr>
            <w:r>
              <w:rPr/>
              <w:t>5/7/2032</w:t>
            </w:r>
          </w:p>
        </w:tc>
      </w:tr>
      <w:tr>
        <w:trPr/>
        <w:tc>
          <w:tcPr>
            <w:tcW w:w="1618" w:type="dxa"/>
            <w:tcBorders/>
            <w:vAlign w:val="center"/>
          </w:tcPr>
          <w:p>
            <w:pPr>
              <w:pStyle w:val="TableContents"/>
              <w:bidi w:val="0"/>
              <w:spacing w:before="0" w:after="283"/>
              <w:jc w:val="left"/>
              <w:rPr/>
            </w:pPr>
            <w:r>
              <w:rPr/>
              <w:t>Vijayan Nambiar</w:t>
            </w:r>
          </w:p>
        </w:tc>
        <w:tc>
          <w:tcPr>
            <w:tcW w:w="9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center"/>
              <w:rPr/>
            </w:pPr>
            <w:r>
              <w:rPr/>
              <w:t>11/21/2023</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944" w:type="dxa"/>
            <w:tcBorders/>
            <w:vAlign w:val="center"/>
          </w:tcPr>
          <w:p>
            <w:pPr>
              <w:pStyle w:val="TableContents"/>
              <w:bidi w:val="0"/>
              <w:spacing w:before="0" w:after="283"/>
              <w:jc w:val="right"/>
              <w:rPr/>
            </w:pPr>
            <w:r>
              <w:rPr/>
              <w:t>359,721</w:t>
            </w:r>
          </w:p>
        </w:tc>
        <w:tc>
          <w:tcPr>
            <w:tcW w:w="416"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0.0516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center"/>
              <w:rPr/>
            </w:pPr>
            <w:r>
              <w:rPr/>
              <w:t>11/21/2033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tc>
      </w:tr>
    </w:tbl>
    <w:tbl>
      <w:tblPr>
        <w:tblW w:w="7975" w:type="dxa"/>
        <w:jc w:val="left"/>
        <w:tblInd w:w="0" w:type="dxa"/>
        <w:tblLayout w:type="fixed"/>
        <w:tblCellMar>
          <w:top w:w="0" w:type="dxa"/>
          <w:left w:w="0" w:type="dxa"/>
          <w:bottom w:w="0" w:type="dxa"/>
          <w:right w:w="0" w:type="dxa"/>
        </w:tblCellMar>
      </w:tblPr>
      <w:tblGrid>
        <w:gridCol w:w="290"/>
        <w:gridCol w:w="76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shares subject to the option vest on each of the five anniversaries of the 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05"/>
        <w:gridCol w:w="200"/>
        <w:gridCol w:w="68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pPr>
            <w:r>
              <w:rPr/>
              <w:t>any breach of the director’s duty of loyalty to us or to our stockholders;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283"/>
              <w:jc w:val="both"/>
              <w:rPr/>
            </w:pPr>
            <w:r>
              <w:rPr/>
              <w:t> </w:t>
            </w:r>
          </w:p>
        </w:tc>
      </w:tr>
    </w:tbl>
    <w:tbl>
      <w:tblPr>
        <w:tblW w:w="10165" w:type="dxa"/>
        <w:jc w:val="left"/>
        <w:tblInd w:w="0" w:type="dxa"/>
        <w:tblLayout w:type="fixed"/>
        <w:tblCellMar>
          <w:top w:w="0" w:type="dxa"/>
          <w:left w:w="0" w:type="dxa"/>
          <w:bottom w:w="0" w:type="dxa"/>
          <w:right w:w="0" w:type="dxa"/>
        </w:tblCellMar>
      </w:tblPr>
      <w:tblGrid>
        <w:gridCol w:w="105"/>
        <w:gridCol w:w="200"/>
        <w:gridCol w:w="986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acts or omissions not in good faith or that involve intentional misconduct or a knowing violation of law;</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283"/>
              <w:jc w:val="both"/>
              <w:rPr/>
            </w:pPr>
            <w:r>
              <w:rPr/>
              <w:t> </w:t>
            </w:r>
          </w:p>
        </w:tc>
      </w:tr>
    </w:tbl>
    <w:tbl>
      <w:tblPr>
        <w:tblW w:w="8155" w:type="dxa"/>
        <w:jc w:val="left"/>
        <w:tblInd w:w="0" w:type="dxa"/>
        <w:tblLayout w:type="fixed"/>
        <w:tblCellMar>
          <w:top w:w="0" w:type="dxa"/>
          <w:left w:w="0" w:type="dxa"/>
          <w:bottom w:w="0" w:type="dxa"/>
          <w:right w:w="0" w:type="dxa"/>
        </w:tblCellMar>
      </w:tblPr>
      <w:tblGrid>
        <w:gridCol w:w="105"/>
        <w:gridCol w:w="200"/>
        <w:gridCol w:w="785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unlawful payment of dividends or unlawful stock repurchases or redemptions;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283"/>
              <w:jc w:val="both"/>
              <w:rPr/>
            </w:pPr>
            <w:r>
              <w:rPr/>
              <w:t> </w:t>
            </w:r>
          </w:p>
        </w:tc>
      </w:tr>
    </w:tbl>
    <w:tbl>
      <w:tblPr>
        <w:tblW w:w="7653" w:type="dxa"/>
        <w:jc w:val="left"/>
        <w:tblInd w:w="0" w:type="dxa"/>
        <w:tblLayout w:type="fixed"/>
        <w:tblCellMar>
          <w:top w:w="0" w:type="dxa"/>
          <w:left w:w="0" w:type="dxa"/>
          <w:bottom w:w="0" w:type="dxa"/>
          <w:right w:w="0" w:type="dxa"/>
        </w:tblCellMar>
      </w:tblPr>
      <w:tblGrid>
        <w:gridCol w:w="68"/>
        <w:gridCol w:w="200"/>
        <w:gridCol w:w="73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provision also does not affect a director’s responsibilities under any other laws, such as the federal securities laws or other state or federal laws. Under our Bylaws, we are also empowered to purchase insurance on behalf of any person whom we are required or permitted to indemnify.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1"/>
      <w:bookmarkEnd w:id="29"/>
      <w:r>
        <w:rPr>
          <w:rFonts w:ascii="Times New Roman;Times;Serif" w:hAnsi="Times New Roman;Times;Serif"/>
          <w:b/>
          <w:i w:val="false"/>
          <w:caps w:val="false"/>
          <w:smallCaps w:val="false"/>
          <w:sz w:val="20"/>
        </w:rPr>
        <w:t>Item 12. 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Common Stock following consummation of the Business Combination 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each person known by the Company to be the beneficial owner of more than 5% of the Common Stock of the Company;</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76"/>
        <w:gridCol w:w="337"/>
        <w:gridCol w:w="9692"/>
      </w:tblGrid>
      <w:tr>
        <w:trPr/>
        <w:tc>
          <w:tcPr>
            <w:tcW w:w="1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692" w:type="dxa"/>
            <w:tcBorders/>
            <w:vAlign w:val="center"/>
          </w:tcPr>
          <w:p>
            <w:pPr>
              <w:pStyle w:val="TableContents"/>
              <w:bidi w:val="0"/>
              <w:spacing w:before="0" w:after="283"/>
              <w:jc w:val="left"/>
              <w:rPr/>
            </w:pPr>
            <w:r>
              <w:rPr/>
              <w:t>each of the Company’s executive officers and directors; and</w:t>
            </w:r>
          </w:p>
        </w:tc>
      </w:tr>
      <w:tr>
        <w:trPr/>
        <w:tc>
          <w:tcPr>
            <w:tcW w:w="176"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969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11"/>
        <w:gridCol w:w="329"/>
        <w:gridCol w:w="9765"/>
      </w:tblGrid>
      <w:tr>
        <w:trPr/>
        <w:tc>
          <w:tcPr>
            <w:tcW w:w="1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w:t>
            </w:r>
          </w:p>
        </w:tc>
        <w:tc>
          <w:tcPr>
            <w:tcW w:w="9765" w:type="dxa"/>
            <w:tcBorders/>
            <w:vAlign w:val="center"/>
          </w:tcPr>
          <w:p>
            <w:pPr>
              <w:pStyle w:val="TableContents"/>
              <w:bidi w:val="0"/>
              <w:spacing w:before="0" w:after="283"/>
              <w:jc w:val="left"/>
              <w:rPr/>
            </w:pPr>
            <w:r>
              <w:rPr/>
              <w:t>all executive officers and directors of the Company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shares of the Company’s Common Stock beneficially owned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29,273,321 shares of our Common Stock issued and outstanding as of January 14, 2026.</w:t>
      </w:r>
    </w:p>
    <w:p>
      <w:pPr>
        <w:pStyle w:val="TextBody"/>
        <w:bidi w:val="0"/>
        <w:spacing w:before="0" w:after="0"/>
        <w:ind w:left="0" w:right="0" w:hanging="0"/>
        <w:jc w:val="center"/>
        <w:rPr>
          <w:caps w:val="false"/>
          <w:smallCaps w:val="false"/>
        </w:rPr>
      </w:pPr>
      <w:r>
        <w:rPr>
          <w:caps w:val="false"/>
          <w:smallCaps w:val="false"/>
        </w:rPr>
        <w:t> </w:t>
      </w:r>
    </w:p>
    <w:tbl>
      <w:tblPr>
        <w:tblW w:w="7429" w:type="dxa"/>
        <w:jc w:val="left"/>
        <w:tblInd w:w="0" w:type="dxa"/>
        <w:tblLayout w:type="fixed"/>
        <w:tblCellMar>
          <w:top w:w="0" w:type="dxa"/>
          <w:left w:w="0" w:type="dxa"/>
          <w:bottom w:w="28" w:type="dxa"/>
          <w:right w:w="0" w:type="dxa"/>
        </w:tblCellMar>
      </w:tblPr>
      <w:tblGrid>
        <w:gridCol w:w="4400"/>
        <w:gridCol w:w="90"/>
        <w:gridCol w:w="156"/>
        <w:gridCol w:w="1753"/>
        <w:gridCol w:w="90"/>
        <w:gridCol w:w="90"/>
        <w:gridCol w:w="90"/>
        <w:gridCol w:w="470"/>
        <w:gridCol w:w="290"/>
      </w:tblGrid>
      <w:tr>
        <w:trPr/>
        <w:tc>
          <w:tcPr>
            <w:tcW w:w="4400" w:type="dxa"/>
            <w:tcBorders>
              <w:bottom w:val="single" w:sz="12" w:space="0" w:color="000000"/>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Name of Beneficial Owners</w:t>
            </w:r>
            <w:r>
              <w:rPr>
                <w:rFonts w:ascii="Times New Roman;Times;Serif" w:hAnsi="Times New Roman;Times;Serif"/>
                <w:b/>
                <w:i/>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12" w:space="0" w:color="000000"/>
            </w:tcBorders>
            <w:vAlign w:val="center"/>
          </w:tcPr>
          <w:p>
            <w:pPr>
              <w:pStyle w:val="TableContents"/>
              <w:bidi w:val="0"/>
              <w:spacing w:before="0" w:after="283"/>
              <w:jc w:val="center"/>
              <w:rPr>
                <w:b/>
              </w:rPr>
            </w:pPr>
            <w:r>
              <w:rPr>
                <w:b/>
              </w:rP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w:t>
            </w:r>
          </w:p>
        </w:tc>
        <w:tc>
          <w:tcPr>
            <w:tcW w:w="290" w:type="dxa"/>
            <w:tcBorders/>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b/>
                <w:i/>
              </w:rPr>
            </w:pPr>
            <w:r>
              <w:rPr>
                <w:b/>
                <w:i/>
              </w:rPr>
              <w:t>Directors and Executive Officers</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283"/>
              <w:jc w:val="left"/>
              <w:rPr/>
            </w:pPr>
            <w:r>
              <w:rPr/>
              <w:t>Edmund Nabrotzky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3,571,614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12.2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400" w:type="dxa"/>
            <w:tcBorders/>
            <w:tcMar>
              <w:bottom w:w="0" w:type="dxa"/>
            </w:tcMar>
            <w:vAlign w:val="center"/>
          </w:tcPr>
          <w:p>
            <w:pPr>
              <w:pStyle w:val="TableContents"/>
              <w:bidi w:val="0"/>
              <w:spacing w:before="0" w:after="283"/>
              <w:jc w:val="left"/>
              <w:rPr/>
            </w:pPr>
            <w:r>
              <w:rPr/>
              <w:t>Charles Maddox</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2,052,788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7.0</w:t>
            </w:r>
          </w:p>
        </w:tc>
        <w:tc>
          <w:tcPr>
            <w:tcW w:w="290" w:type="dxa"/>
            <w:tcBorders/>
            <w:tcMar>
              <w:bottom w:w="0"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Vijayan Nambiar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Sheldon Paul</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713,667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2.4</w:t>
            </w:r>
          </w:p>
        </w:tc>
        <w:tc>
          <w:tcPr>
            <w:tcW w:w="290" w:type="dxa"/>
            <w:tcBorders/>
            <w:tcMar>
              <w:bottom w:w="0"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Janice Bryant Howroyd</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32,983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pPr>
            <w:r>
              <w:rPr/>
              <w:t>Walter Skowronski</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283"/>
              <w:jc w:val="left"/>
              <w:rPr/>
            </w:pPr>
            <w:r>
              <w:rPr/>
              <w:t>David Carlson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pPr>
            <w:r>
              <w:rPr/>
              <w:t>Jeff Saling</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Phyllis Newhouse</w:t>
            </w: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753" w:type="dxa"/>
            <w:tcBorders>
              <w:bottom w:val="single" w:sz="12" w:space="0" w:color="000000"/>
            </w:tcBorders>
            <w:shd w:fill="CCEEFF" w:val="clear"/>
            <w:vAlign w:val="center"/>
          </w:tcPr>
          <w:p>
            <w:pPr>
              <w:pStyle w:val="TableContents"/>
              <w:bidi w:val="0"/>
              <w:spacing w:before="0" w:after="283"/>
              <w:jc w:val="right"/>
              <w:rPr/>
            </w:pPr>
            <w:r>
              <w:rPr/>
              <w:t>2,574,494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470" w:type="dxa"/>
            <w:tcBorders>
              <w:bottom w:val="single" w:sz="12" w:space="0" w:color="000000"/>
            </w:tcBorders>
            <w:shd w:fill="CCEEFF" w:val="clear"/>
            <w:vAlign w:val="center"/>
          </w:tcPr>
          <w:p>
            <w:pPr>
              <w:pStyle w:val="TableContents"/>
              <w:bidi w:val="0"/>
              <w:spacing w:before="0" w:after="283"/>
              <w:jc w:val="right"/>
              <w:rPr/>
            </w:pPr>
            <w:r>
              <w:rPr/>
              <w:t>8.8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400" w:type="dxa"/>
            <w:tcBorders/>
            <w:tcMar>
              <w:bottom w:w="0" w:type="dxa"/>
            </w:tcMar>
            <w:vAlign w:val="center"/>
          </w:tcPr>
          <w:p>
            <w:pPr>
              <w:pStyle w:val="TableContents"/>
              <w:bidi w:val="0"/>
              <w:spacing w:before="0" w:after="283"/>
              <w:jc w:val="left"/>
              <w:rPr/>
            </w:pPr>
            <w:r>
              <w:rPr/>
              <w:t>All directors and executive officers as a group</w:t>
            </w:r>
          </w:p>
        </w:tc>
        <w:tc>
          <w:tcPr>
            <w:tcW w:w="90" w:type="dxa"/>
            <w:tcBorders/>
            <w:tcMar>
              <w:bottom w:w="0" w:type="dxa"/>
            </w:tcMar>
            <w:vAlign w:val="center"/>
          </w:tcPr>
          <w:p>
            <w:pPr>
              <w:pStyle w:val="TableContents"/>
              <w:bidi w:val="0"/>
              <w:spacing w:before="0" w:after="283"/>
              <w:jc w:val="left"/>
              <w:rPr/>
            </w:pPr>
            <w:r>
              <w:rPr/>
              <w:t> </w:t>
            </w:r>
          </w:p>
        </w:tc>
        <w:tc>
          <w:tcPr>
            <w:tcW w:w="156" w:type="dxa"/>
            <w:tcBorders>
              <w:bottom w:val="double" w:sz="10" w:space="0" w:color="000000"/>
            </w:tcBorders>
            <w:vAlign w:val="center"/>
          </w:tcPr>
          <w:p>
            <w:pPr>
              <w:pStyle w:val="TableContents"/>
              <w:bidi w:val="0"/>
              <w:spacing w:before="0" w:after="283"/>
              <w:jc w:val="left"/>
              <w:rPr/>
            </w:pPr>
            <w:r>
              <w:rPr/>
              <w:t> </w:t>
            </w:r>
          </w:p>
        </w:tc>
        <w:tc>
          <w:tcPr>
            <w:tcW w:w="1753" w:type="dxa"/>
            <w:tcBorders>
              <w:bottom w:val="double" w:sz="10" w:space="0" w:color="000000"/>
            </w:tcBorders>
            <w:vAlign w:val="center"/>
          </w:tcPr>
          <w:p>
            <w:pPr>
              <w:pStyle w:val="TableContents"/>
              <w:bidi w:val="0"/>
              <w:spacing w:before="0" w:after="283"/>
              <w:jc w:val="right"/>
              <w:rPr/>
            </w:pPr>
            <w:r>
              <w:rPr/>
              <w:t>8,945,546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470" w:type="dxa"/>
            <w:tcBorders>
              <w:bottom w:val="double" w:sz="10" w:space="0" w:color="000000"/>
            </w:tcBorders>
            <w:vAlign w:val="center"/>
          </w:tcPr>
          <w:p>
            <w:pPr>
              <w:pStyle w:val="TableContents"/>
              <w:bidi w:val="0"/>
              <w:spacing w:before="0" w:after="283"/>
              <w:jc w:val="right"/>
              <w:rPr/>
            </w:pPr>
            <w:r>
              <w:rPr/>
              <w:t>30.4</w:t>
            </w:r>
          </w:p>
        </w:tc>
        <w:tc>
          <w:tcPr>
            <w:tcW w:w="290" w:type="dxa"/>
            <w:tcBorders/>
            <w:tcMar>
              <w:bottom w:w="0"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283"/>
              <w:jc w:val="left"/>
              <w:rPr>
                <w:b/>
                <w:i/>
              </w:rPr>
            </w:pPr>
            <w:r>
              <w:rPr>
                <w:b/>
                <w:i/>
              </w:rPr>
              <w:t>Five Percent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00" w:type="dxa"/>
            <w:tcBorders/>
            <w:tcMar>
              <w:bottom w:w="0" w:type="dxa"/>
            </w:tcMar>
            <w:vAlign w:val="center"/>
          </w:tcPr>
          <w:p>
            <w:pPr>
              <w:pStyle w:val="TableContents"/>
              <w:bidi w:val="0"/>
              <w:spacing w:before="0" w:after="283"/>
              <w:jc w:val="left"/>
              <w:rPr/>
            </w:pPr>
            <w:r>
              <w:rPr/>
              <w:t>William Tremaine Reny</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2,470,060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8.4</w:t>
            </w:r>
          </w:p>
        </w:tc>
        <w:tc>
          <w:tcPr>
            <w:tcW w:w="290" w:type="dxa"/>
            <w:tcBorders/>
            <w:tcMar>
              <w:bottom w:w="0" w:type="dxa"/>
            </w:tcMar>
            <w:vAlign w:val="center"/>
          </w:tcPr>
          <w:p>
            <w:pPr>
              <w:pStyle w:val="TableContents"/>
              <w:bidi w:val="0"/>
              <w:spacing w:before="0" w:after="283"/>
              <w:jc w:val="lef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Jeffery Andersen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1,524,924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5.5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44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ShoulderUp 2021 Trust</w:t>
            </w:r>
            <w:r>
              <w:rPr>
                <w:rFonts w:ascii="Times New Roman;Times;Serif" w:hAnsi="Times New Roman;Times;Serif"/>
                <w:position w:val="7"/>
                <w:sz w:val="16"/>
                <w:sz w:val="20"/>
              </w:rPr>
              <w:t>(5)</w:t>
            </w:r>
          </w:p>
        </w:tc>
        <w:tc>
          <w:tcPr>
            <w:tcW w:w="9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753" w:type="dxa"/>
            <w:tcBorders/>
            <w:tcMar>
              <w:bottom w:w="0" w:type="dxa"/>
            </w:tcMar>
            <w:vAlign w:val="center"/>
          </w:tcPr>
          <w:p>
            <w:pPr>
              <w:pStyle w:val="TableContents"/>
              <w:bidi w:val="0"/>
              <w:spacing w:before="0" w:after="283"/>
              <w:jc w:val="right"/>
              <w:rPr/>
            </w:pPr>
            <w:r>
              <w:rPr/>
              <w:t>1,551,180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5.3</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85" w:type="dxa"/>
            <w:tcBorders/>
            <w:vAlign w:val="center"/>
          </w:tcPr>
          <w:p>
            <w:pPr>
              <w:pStyle w:val="TableContents"/>
              <w:bidi w:val="0"/>
              <w:spacing w:before="0" w:after="283"/>
              <w:jc w:val="both"/>
              <w:rPr/>
            </w:pPr>
            <w:r>
              <w:rPr/>
              <w:t xml:space="preserve">Less </w:t>
            </w:r>
            <w:r>
              <w:rPr>
                <w:rFonts w:ascii="Times New Roman;Times;Serif" w:hAnsi="Times New Roman;Times;Serif"/>
                <w:sz w:val="20"/>
              </w:rPr>
              <w:t>than one percent.</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those listed in the table above is 5661 S Cameron St, Suite 100, Las Vegas, NV 89118.</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112,842 shares directly held by SSP Technology Holdings, LLC; (ii) 481,258 shares directly held by The Paul Family Trust; and (iii) 119,567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ASK, LLC. Janice Howroyd is the sole member of ASK, LLC and has voting and investment control of the shares held by ASK, LLC.</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shares directly held by ShoulderUp 2021 Trust. The address of the principal business office of ShoulderUp 2021 Trust is 2291 Loring Oak PL NW Marietta, GA 30064.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2"/>
      <w:bookmarkEnd w:id="30"/>
      <w:r>
        <w:rPr>
          <w:rFonts w:ascii="Times New Roman;Times;Serif" w:hAnsi="Times New Roman;Times;Serif"/>
          <w:b/>
          <w:i w:val="false"/>
          <w:caps w:val="false"/>
          <w:smallCaps w:val="false"/>
          <w:sz w:val="20"/>
        </w:rPr>
        <w:t>Item 13. Certain Relationships and Related Transactions, and 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23"/>
      <w:bookmarkEnd w:id="31"/>
      <w:r>
        <w:rPr>
          <w:rFonts w:ascii="Times New Roman;Times;Serif" w:hAnsi="Times New Roman;Times;Serif"/>
          <w:b/>
          <w:i w:val="false"/>
          <w:caps w:val="false"/>
          <w:smallCaps w:val="false"/>
          <w:sz w:val="20"/>
        </w:rPr>
        <w:t>Item 14. Principal Accounting Fees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fees for services provided by Carr, Riggs &amp; Ingram, L.L.C (“CRI”), Berkowitz Pollack Brant Advisors (“BPB”) and Wolf &amp; Company, P.C. (“Wolf”) were as follows. Wolf served as the Company’s independent registered public accounting firm from January 2024 through June 30, 2024. BPB served as the Company’s independent registered public accounting firm from July 1, 2024 through December 31, 2025. CRI serves as the Company’s independent registered public accounting firm beginning January 1, 2026.</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805"/>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135"/>
      </w:tblGrid>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2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805" w:type="dxa"/>
            <w:tcBorders>
              <w:bottom w:val="single" w:sz="12" w:space="0" w:color="000000"/>
            </w:tcBorders>
            <w:tcMar>
              <w:bottom w:w="28" w:type="dxa"/>
            </w:tcMar>
            <w:vAlign w:val="center"/>
          </w:tcPr>
          <w:p>
            <w:pPr>
              <w:pStyle w:val="TableContents"/>
              <w:bidi w:val="0"/>
              <w:spacing w:before="0" w:after="283"/>
              <w:jc w:val="left"/>
              <w:rPr>
                <w:b/>
              </w:rPr>
            </w:pPr>
            <w:r>
              <w:rPr>
                <w:b/>
              </w:rPr>
              <w:t>Audit Firms</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CRI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BPB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Wolf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BPB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Wolf</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222,390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307,621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394,105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115,000</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215,000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265,140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307,621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407,355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115,000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Fees</w:t>
      </w:r>
      <w:r>
        <w:rPr>
          <w:rFonts w:ascii="Times New Roman;Times;Serif" w:hAnsi="Times New Roman;Times;Serif"/>
          <w:b w:val="false"/>
          <w:i w:val="false"/>
          <w:caps w:val="false"/>
          <w:smallCaps w:val="false"/>
          <w:sz w:val="20"/>
        </w:rPr>
        <w:t xml:space="preserve"> consist of professional services rendered in connection with the audit of our financial statements, review of our interim financial statements, consents, and review of documents such as registration statements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Audit-Related Fees</w:t>
      </w:r>
      <w:r>
        <w:rPr>
          <w:rFonts w:ascii="Times New Roman;Times;Serif" w:hAnsi="Times New Roman;Times;Serif"/>
          <w:b w:val="false"/>
          <w:i w:val="false"/>
          <w:caps w:val="false"/>
          <w:smallCaps w:val="false"/>
          <w:sz w:val="20"/>
        </w:rPr>
        <w:t xml:space="preserve"> include fees related to assurance and related services that are reasonably related to the performance of the audit or review of our financial statements, including attestation services that are not required by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Fees</w:t>
      </w:r>
      <w:r>
        <w:rPr>
          <w:rFonts w:ascii="Times New Roman;Times;Serif" w:hAnsi="Times New Roman;Times;Serif"/>
          <w:b w:val="false"/>
          <w:i w:val="false"/>
          <w:caps w:val="false"/>
          <w:smallCaps w:val="false"/>
          <w:sz w:val="20"/>
        </w:rPr>
        <w:t>. include fees billed for tax compliance, tax advice and tax planning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fees billed by Wolf &amp; Company, P.C. and Berkowitz Pollack Brant Advisors for services rendered to us, other than the services described above,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24"/>
      <w:bookmarkEnd w:id="32"/>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25"/>
      <w:bookmarkEnd w:id="33"/>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Financial Statement Schedules - All financial statement schedules are omitted because they are not applicable or the amounts are immaterial and not required, or the required information is presented in the financial statements and notes thereto beginning on page F-1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file as part of this Annual Report on Form 10-K the exhibits listed in the attached Exhibit Index. Copies of such material can be obtained on the SEC website at www.sec.gov.</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5"/>
        <w:gridCol w:w="90"/>
        <w:gridCol w:w="9090"/>
      </w:tblGrid>
      <w:tr>
        <w:trPr/>
        <w:tc>
          <w:tcPr>
            <w:tcW w:w="102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both"/>
              <w:rPr/>
            </w:pPr>
            <w:r>
              <w:rPr/>
              <w:t> </w:t>
            </w:r>
          </w:p>
        </w:tc>
        <w:tc>
          <w:tcPr>
            <w:tcW w:w="90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"http://www.sec.gov/Archives/edgar/data/2033770/000121390025003518/ea0208059-15.htm" \l "T201"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by and among ShoulderUp Technology Acquisition Corp., CID Holdco, Inc., ShoulderUp Merger Sub, Inc., SEI Merger Sub, Inc., and SEE ID, Inc., dated as of March 18, 2024 (incorporated by reference to Exhibit 2.1 of the CID Holdco, Inc.’s Registration Statement on Form S-4, filed with the SEC on January 15, 2025).</w:t>
            </w:r>
            <w:r>
              <w:rPr>
                <w:rStyle w:val="InternetLink"/>
                <w:sz w:val="20"/>
                <w:rFonts w:ascii="Times New Roman;Times;Serif" w:hAnsi="Times New Roman;Times;Serif"/>
              </w:rPr>
              <w:fldChar w:fldCharType="end"/>
            </w:r>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Amended and Restated Certificate of Incorporation of CID Holdco, Inc.</w:t>
              </w:r>
            </w:hyperlink>
            <w:hyperlink r:id="rId3">
              <w:r>
                <w:rPr>
                  <w:rStyle w:val="InternetLink"/>
                </w:rPr>
                <w:t xml:space="preserve"> (incorporated by reference to Exhibit 3.1 of CID Holdco, Inc.’s Current Report on Form 8-K, filed with the SEC on June 26, 2025.)</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Bylaws of CID Holdco, Inc.</w:t>
              </w:r>
            </w:hyperlink>
            <w:hyperlink r:id="rId5">
              <w:r>
                <w:rPr>
                  <w:rStyle w:val="InternetLink"/>
                </w:rPr>
                <w:t xml:space="preserve"> (incorporated by reference to Exhibit 3.2 of CID Holdco, Inc.’s Current Report on Form 8-K, filed with the SEC on June 26, 2025.)</w:t>
              </w:r>
            </w:hyperlink>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w:anchor="ea028003701ex4-1.htm">
              <w:r>
                <w:rPr>
                  <w:rStyle w:val="InternetLink"/>
                  <w:rFonts w:ascii="Times New Roman;Times;Serif" w:hAnsi="Times New Roman;Times;Serif"/>
                  <w:sz w:val="20"/>
                </w:rPr>
                <w:t>Description of Securities.</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Specimen Common Stock Certificate (incorporated by reference to Exhibit 4.5 of CID Holdco, Inc.’s Registration Statement on Form S-4, filed with the SEC on January 15, 2025).</w:t>
              </w:r>
            </w:hyperlink>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Specimen Warrant Certificate (incorporated by reference to Exhibit 4.6 of CID Holdco, Inc.’s Registration Statement on Form S-4, filed with the SEC on January 15, 2025).</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Existing Warrant Agreement, dated November 16, 2021, by and between ShoulderUp Technology Acquisition Corp and Continental Stock Transfer &amp; Trust Company, as warrant agent (incorporated by reference to Exhibit 4.4 of CID Holdco, Inc.’s Registration Statement on Form S-4, filed with the SEC on January 15, 2025).</w:t>
              </w:r>
            </w:hyperlink>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Warrant Assumption and Assignment Agreement, dated as of June 18, 2025. (incorporated by reference to Exhibit 4.4 of CID Holdco, Inc.’s Current Report on Form 8-K, filed with the SEC on June 26, 2025).</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10">
              <w:r>
                <w:rPr>
                  <w:rStyle w:val="InternetLink"/>
                </w:rPr>
                <w:t>Common Stock Purchase Warrant, dated December 4, 2025, issued in connection with the senior secured financing (incorporated by reference to Exhibit 4.1 to the Company’s Form 8-K/A filed March 6, 2026.</w:t>
              </w:r>
            </w:hyperlink>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Form of PIPE Subscription Agreement (incorporated by reference to Exhibit 10.8 of CID Holdco, Inc.’s Current Report on Form 8-K, filed with the SEC on June 26, 2025).</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Registration Rights and Lock-up Agreement by and among CID Holdco, Inc., and certain parties listed therein, dated as of June 18, 2025 (incorporated by reference to Exhibit 10.10 of CID Holdco, Inc.’s Current Report on Form 8-K, filed with the SEC on June 26, 2025).</w:t>
              </w:r>
            </w:hyperlink>
          </w:p>
        </w:tc>
      </w:tr>
      <w:tr>
        <w:trPr/>
        <w:tc>
          <w:tcPr>
            <w:tcW w:w="10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0" w:type="dxa"/>
            <w:tcBorders/>
            <w:tcMar>
              <w:bottom w:w="0" w:type="dxa"/>
            </w:tcMar>
            <w:vAlign w:val="center"/>
          </w:tcPr>
          <w:p>
            <w:pPr>
              <w:pStyle w:val="TableContents"/>
              <w:bidi w:val="0"/>
              <w:spacing w:before="0" w:after="283"/>
              <w:jc w:val="both"/>
              <w:rPr/>
            </w:pPr>
            <w:r>
              <w:rPr/>
              <w:t> </w:t>
            </w:r>
          </w:p>
        </w:tc>
        <w:tc>
          <w:tcPr>
            <w:tcW w:w="9090"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Share Purchase Agreement, dated June 18, 2025 by and among New Circle Principal Investments LLC, a Delaware limited liability company, and CID Holdco, Inc. (incorporated by reference to Exhibit 10.11 of CID Holdco, Inc.’s Current Report on Form 8-K, filed with the SEC on June 26, 2025).</w:t>
              </w:r>
            </w:hyperlink>
          </w:p>
        </w:tc>
      </w:tr>
      <w:tr>
        <w:trPr/>
        <w:tc>
          <w:tcPr>
            <w:tcW w:w="10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090" w:type="dxa"/>
            <w:tcBorders/>
            <w:shd w:fill="CCEEFF" w:val="clear"/>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Registration Rights Agreement, dated June 18, 2025 by and among New Circle Principal Investments LLC, a Delaware limited liability company, and CID Holdco, Inc. (incorporated by reference to Exhibit 10.12 of CID Holdco, Inc.’s Current Report on Form 8-K, filed with the SEC on June 26,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
        <w:gridCol w:w="90"/>
        <w:gridCol w:w="9526"/>
      </w:tblGrid>
      <w:tr>
        <w:trPr/>
        <w:tc>
          <w:tcPr>
            <w:tcW w:w="5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both"/>
              <w:rPr/>
            </w:pPr>
            <w:r>
              <w:rPr/>
              <w:t> </w:t>
            </w:r>
          </w:p>
        </w:tc>
        <w:tc>
          <w:tcPr>
            <w:tcW w:w="9526" w:type="dxa"/>
            <w:tcBorders/>
            <w:shd w:fill="CCEEFF" w:val="clear"/>
            <w:vAlign w:val="center"/>
          </w:tcPr>
          <w:p>
            <w:pPr>
              <w:pStyle w:val="TableContents"/>
              <w:bidi w:val="0"/>
              <w:spacing w:before="0" w:after="283"/>
              <w:jc w:val="left"/>
              <w:rPr/>
            </w:pPr>
            <w:hyperlink r:id="rId15">
              <w:r>
                <w:rPr>
                  <w:rStyle w:val="InternetLink"/>
                </w:rPr>
                <w:t>Loan Agreement between J.J. Astor &amp; Co. and CID Holdco, Inc., dated as of December 4, 2025 (incorporated by reference to Exhibit 10.1 to the Company’s Form 8-K/A filed March 6, 2026.)</w:t>
              </w:r>
            </w:hyperlink>
          </w:p>
        </w:tc>
      </w:tr>
      <w:tr>
        <w:trPr/>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both"/>
              <w:rPr/>
            </w:pPr>
            <w:r>
              <w:rPr/>
              <w:t> </w:t>
            </w:r>
          </w:p>
        </w:tc>
        <w:tc>
          <w:tcPr>
            <w:tcW w:w="9526" w:type="dxa"/>
            <w:tcBorders/>
            <w:vAlign w:val="center"/>
          </w:tcPr>
          <w:p>
            <w:pPr>
              <w:pStyle w:val="TableContents"/>
              <w:bidi w:val="0"/>
              <w:spacing w:before="0" w:after="283"/>
              <w:jc w:val="left"/>
              <w:rPr/>
            </w:pPr>
            <w:hyperlink r:id="rId16">
              <w:r>
                <w:rPr>
                  <w:rStyle w:val="InternetLink"/>
                </w:rPr>
                <w:t>Senior Secured Convertible Promissory Note (Original Issue Date: December 4, 2025) (incorporated by reference to Exhibit 10.2 to the Company’s Form 8-K/A filed March 6, 2026.)</w:t>
              </w:r>
            </w:hyperlink>
          </w:p>
        </w:tc>
      </w:tr>
      <w:tr>
        <w:trPr/>
        <w:tc>
          <w:tcPr>
            <w:tcW w:w="5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both"/>
              <w:rPr/>
            </w:pPr>
            <w:r>
              <w:rPr/>
              <w:t> </w:t>
            </w:r>
          </w:p>
        </w:tc>
        <w:tc>
          <w:tcPr>
            <w:tcW w:w="9526" w:type="dxa"/>
            <w:tcBorders/>
            <w:shd w:fill="CCEEFF" w:val="clear"/>
            <w:vAlign w:val="center"/>
          </w:tcPr>
          <w:p>
            <w:pPr>
              <w:pStyle w:val="TableContents"/>
              <w:bidi w:val="0"/>
              <w:spacing w:before="0" w:after="283"/>
              <w:jc w:val="left"/>
              <w:rPr/>
            </w:pPr>
            <w:hyperlink r:id="rId17">
              <w:r>
                <w:rPr>
                  <w:rStyle w:val="InternetLink"/>
                </w:rPr>
                <w:t>Amended and Restated Registration Rights Agreement between CID Holdco, Inc. and J.J. Astor &amp; Co., dated as of December 4, 2025 (incorporated by reference to Exhibit 10.3 to the Company’s Form 8-K/Form 8-K filed December 11, 2025).</w:t>
              </w:r>
            </w:hyperlink>
          </w:p>
        </w:tc>
      </w:tr>
      <w:tr>
        <w:trPr/>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both"/>
              <w:rPr/>
            </w:pPr>
            <w:r>
              <w:rPr/>
              <w:t> </w:t>
            </w:r>
          </w:p>
        </w:tc>
        <w:tc>
          <w:tcPr>
            <w:tcW w:w="9526" w:type="dxa"/>
            <w:tcBorders/>
            <w:vAlign w:val="center"/>
          </w:tcPr>
          <w:p>
            <w:pPr>
              <w:pStyle w:val="TableContents"/>
              <w:bidi w:val="0"/>
              <w:spacing w:before="0" w:after="283"/>
              <w:jc w:val="left"/>
              <w:rPr/>
            </w:pPr>
            <w:hyperlink r:id="rId18">
              <w:r>
                <w:rPr>
                  <w:rStyle w:val="InternetLink"/>
                </w:rPr>
                <w:t>CID Holdco, Inc. 2024 Equity Incentive Plan (incorporated by reference to Exhibit 99.1 of CID Holdco, Inc.’s Form S-8 filed September 4, 2025).</w:t>
              </w:r>
            </w:hyperlink>
          </w:p>
        </w:tc>
      </w:tr>
      <w:tr>
        <w:trPr/>
        <w:tc>
          <w:tcPr>
            <w:tcW w:w="5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both"/>
              <w:rPr/>
            </w:pPr>
            <w:r>
              <w:rPr/>
              <w:t> </w:t>
            </w:r>
          </w:p>
        </w:tc>
        <w:tc>
          <w:tcPr>
            <w:tcW w:w="9526" w:type="dxa"/>
            <w:tcBorders/>
            <w:shd w:fill="CCEEFF" w:val="clear"/>
            <w:vAlign w:val="center"/>
          </w:tcPr>
          <w:p>
            <w:pPr>
              <w:pStyle w:val="TableContents"/>
              <w:bidi w:val="0"/>
              <w:spacing w:before="0" w:after="0"/>
              <w:ind w:left="0" w:right="0" w:hanging="0"/>
              <w:jc w:val="left"/>
              <w:rPr/>
            </w:pPr>
            <w:hyperlink r:id="rId19">
              <w:r>
                <w:rPr>
                  <w:rStyle w:val="InternetLink"/>
                </w:rPr>
                <w:t>SEE ID, Inc. 2021 Equity Incentive Plan (incorporated by reference to Exhibit 99.1 of the CID Holdco, Inc.’s Registration Statement on Form S-8, filed with the SEC on December 2, 2025).</w:t>
              </w:r>
            </w:hyperlink>
          </w:p>
        </w:tc>
      </w:tr>
      <w:tr>
        <w:trPr/>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90" w:type="dxa"/>
            <w:tcBorders/>
            <w:vAlign w:val="center"/>
          </w:tcPr>
          <w:p>
            <w:pPr>
              <w:pStyle w:val="TableContents"/>
              <w:bidi w:val="0"/>
              <w:spacing w:before="0" w:after="283"/>
              <w:jc w:val="both"/>
              <w:rPr/>
            </w:pPr>
            <w:r>
              <w:rPr/>
              <w:t> </w:t>
            </w:r>
          </w:p>
        </w:tc>
        <w:tc>
          <w:tcPr>
            <w:tcW w:w="9526" w:type="dxa"/>
            <w:tcBorders/>
            <w:vAlign w:val="center"/>
          </w:tcPr>
          <w:p>
            <w:pPr>
              <w:pStyle w:val="TableContents"/>
              <w:bidi w:val="0"/>
              <w:spacing w:before="0" w:after="283"/>
              <w:jc w:val="left"/>
              <w:rPr/>
            </w:pPr>
            <w:hyperlink w:anchor="ea028003701ex14-1.htm">
              <w:r>
                <w:rPr>
                  <w:rStyle w:val="InternetLink"/>
                  <w:rFonts w:ascii="Times New Roman;Times;Serif" w:hAnsi="Times New Roman;Times;Serif"/>
                  <w:sz w:val="20"/>
                </w:rPr>
                <w:t>Code of Ethics and Business Conduct.</w:t>
              </w:r>
            </w:hyperlink>
          </w:p>
        </w:tc>
      </w:tr>
      <w:tr>
        <w:trPr/>
        <w:tc>
          <w:tcPr>
            <w:tcW w:w="5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16.1*</w:t>
            </w:r>
          </w:p>
        </w:tc>
        <w:tc>
          <w:tcPr>
            <w:tcW w:w="90" w:type="dxa"/>
            <w:tcBorders/>
            <w:shd w:fill="CCEEFF" w:val="clear"/>
            <w:vAlign w:val="center"/>
          </w:tcPr>
          <w:p>
            <w:pPr>
              <w:pStyle w:val="TableContents"/>
              <w:bidi w:val="0"/>
              <w:spacing w:before="0" w:after="283"/>
              <w:jc w:val="both"/>
              <w:rPr/>
            </w:pPr>
            <w:r>
              <w:rPr/>
              <w:t> </w:t>
            </w:r>
          </w:p>
        </w:tc>
        <w:tc>
          <w:tcPr>
            <w:tcW w:w="9526" w:type="dxa"/>
            <w:tcBorders/>
            <w:shd w:fill="CCEEFF" w:val="clear"/>
            <w:vAlign w:val="center"/>
          </w:tcPr>
          <w:p>
            <w:pPr>
              <w:pStyle w:val="TableContents"/>
              <w:bidi w:val="0"/>
              <w:spacing w:before="0" w:after="283"/>
              <w:jc w:val="left"/>
              <w:rPr/>
            </w:pPr>
            <w:hyperlink w:anchor="ea028003701ex16-1.htm">
              <w:r>
                <w:rPr>
                  <w:rStyle w:val="InternetLink"/>
                  <w:rFonts w:ascii="Times New Roman;Times;Serif" w:hAnsi="Times New Roman;Times;Serif"/>
                  <w:sz w:val="20"/>
                </w:rPr>
                <w:t>Letter from Berkowitz Pollack Brant Advisors + CPAs, LLP, dated as of January 20, 2026, addressed to the Securities and Exchange Commission.</w:t>
              </w:r>
            </w:hyperlink>
          </w:p>
        </w:tc>
      </w:tr>
      <w:tr>
        <w:trPr/>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both"/>
              <w:rPr/>
            </w:pPr>
            <w:r>
              <w:rPr/>
              <w:t> </w:t>
            </w:r>
          </w:p>
        </w:tc>
        <w:tc>
          <w:tcPr>
            <w:tcW w:w="9526" w:type="dxa"/>
            <w:tcBorders/>
            <w:vAlign w:val="center"/>
          </w:tcPr>
          <w:p>
            <w:pPr>
              <w:pStyle w:val="TableContents"/>
              <w:bidi w:val="0"/>
              <w:spacing w:before="0" w:after="283"/>
              <w:jc w:val="left"/>
              <w:rPr/>
            </w:pPr>
            <w:hyperlink w:anchor="ea028003701ex21-1.htm">
              <w:r>
                <w:rPr>
                  <w:rStyle w:val="InternetLink"/>
                  <w:rFonts w:ascii="Times New Roman;Times;Serif" w:hAnsi="Times New Roman;Times;Serif"/>
                  <w:sz w:val="20"/>
                </w:rPr>
                <w:t>Subsidiaries of the Registrant.</w:t>
              </w:r>
            </w:hyperlink>
          </w:p>
        </w:tc>
      </w:tr>
      <w:tr>
        <w:trPr/>
        <w:tc>
          <w:tcPr>
            <w:tcW w:w="58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90" w:type="dxa"/>
            <w:tcBorders/>
            <w:shd w:fill="CCEEFF" w:val="clear"/>
            <w:vAlign w:val="center"/>
          </w:tcPr>
          <w:p>
            <w:pPr>
              <w:pStyle w:val="TableContents"/>
              <w:bidi w:val="0"/>
              <w:spacing w:before="0" w:after="283"/>
              <w:jc w:val="both"/>
              <w:rPr/>
            </w:pPr>
            <w:r>
              <w:rPr/>
              <w:t> </w:t>
            </w:r>
          </w:p>
        </w:tc>
        <w:tc>
          <w:tcPr>
            <w:tcW w:w="9526" w:type="dxa"/>
            <w:tcBorders/>
            <w:shd w:fill="CCEEFF" w:val="clear"/>
            <w:vAlign w:val="center"/>
          </w:tcPr>
          <w:p>
            <w:pPr>
              <w:pStyle w:val="TableContents"/>
              <w:bidi w:val="0"/>
              <w:spacing w:before="0" w:after="283"/>
              <w:jc w:val="left"/>
              <w:rPr/>
            </w:pPr>
            <w:hyperlink w:anchor="ea028003701ex23-1.htm">
              <w:r>
                <w:rPr>
                  <w:rStyle w:val="InternetLink"/>
                  <w:rFonts w:ascii="Times New Roman;Times;Serif" w:hAnsi="Times New Roman;Times;Serif"/>
                  <w:sz w:val="20"/>
                </w:rPr>
                <w:t>Consent of Berkowitz Pollack Brant Advisors + CPAs</w:t>
              </w:r>
            </w:hyperlink>
          </w:p>
        </w:tc>
      </w:tr>
      <w:tr>
        <w:trPr/>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jc w:val="both"/>
              <w:rPr/>
            </w:pPr>
            <w:r>
              <w:rPr/>
              <w:t> </w:t>
            </w:r>
          </w:p>
        </w:tc>
        <w:tc>
          <w:tcPr>
            <w:tcW w:w="9526" w:type="dxa"/>
            <w:tcBorders/>
            <w:vAlign w:val="center"/>
          </w:tcPr>
          <w:p>
            <w:pPr>
              <w:pStyle w:val="TableContents"/>
              <w:bidi w:val="0"/>
              <w:spacing w:before="0" w:after="283"/>
              <w:jc w:val="left"/>
              <w:rPr/>
            </w:pPr>
            <w:hyperlink w:anchor="ea028003701ex23-2.htm">
              <w:r>
                <w:rPr>
                  <w:rStyle w:val="InternetLink"/>
                  <w:rFonts w:ascii="Times New Roman;Times;Serif" w:hAnsi="Times New Roman;Times;Serif"/>
                  <w:sz w:val="20"/>
                </w:rPr>
                <w:t>Consent of Carr, Riggs &amp; Ingram, LLC</w:t>
              </w:r>
            </w:hyperlink>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pPr>
            <w:hyperlink w:anchor="ea028003701ex31-1.htm">
              <w:r>
                <w:rPr>
                  <w:rStyle w:val="InternetLink"/>
                  <w:rFonts w:ascii="Times New Roman;Times;Serif" w:hAnsi="Times New Roman;Times;Serif"/>
                  <w:sz w:val="20"/>
                </w:rPr>
                <w:t>Certification of Principal Executive Officer Pursuant to Securities Exchange Act Rules 13a-14(a), as adopted Pursuant to Section 302 of the Sarbanes-Oxley Act of 2002</w:t>
              </w:r>
            </w:hyperlink>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pPr>
            <w:hyperlink w:anchor="ea028003701ex31-2.htm">
              <w:r>
                <w:rPr>
                  <w:rStyle w:val="InternetLink"/>
                  <w:rFonts w:ascii="Times New Roman;Times;Serif" w:hAnsi="Times New Roman;Times;Serif"/>
                  <w:sz w:val="20"/>
                </w:rPr>
                <w:t>Certification of Principal Financial Officer Pursuant to Securities Exchange Act Rules 13a-14(a), as adopted Pursuant to Section 302 of the Sarbanes-Oxley Act of 2002</w:t>
              </w:r>
            </w:hyperlink>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pPr>
            <w:hyperlink w:anchor="ea028003701ex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pPr>
            <w:hyperlink w:anchor="ea028003701ex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pPr>
            <w:hyperlink w:anchor="ea028003701ex97-1.htm">
              <w:r>
                <w:rPr>
                  <w:rStyle w:val="InternetLink"/>
                  <w:rFonts w:ascii="Times New Roman;Times;Serif" w:hAnsi="Times New Roman;Times;Serif"/>
                  <w:sz w:val="20"/>
                </w:rPr>
                <w:t>Clawback Policy</w:t>
              </w:r>
            </w:hyperlink>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5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9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p>
      <w:pPr>
        <w:pStyle w:val="TextBody"/>
        <w:bidi w:val="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omitted pursuant to Item 601(a)(5) of Regulation S-K. The Company agrees to furnish supplementally to the SEC a copy of any omitted schedule or exhibit upon the request of the SEC in accordance with Item 601(b)(2)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26"/>
      <w:bookmarkEnd w:id="34"/>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27"/>
      <w:bookmarkEnd w:id="3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Exchange Act, the Registrant has duly caused this report to be signed on its behalf by the undersigned, thereunto duly authorized, on March 11, 2026.</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05"/>
        <w:gridCol w:w="620"/>
        <w:gridCol w:w="2420"/>
      </w:tblGrid>
      <w:tr>
        <w:trPr/>
        <w:tc>
          <w:tcPr>
            <w:tcW w:w="10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CID HOLDCO, INC..</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Edmund Nabrotzky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28" w:type="dxa"/>
          <w:right w:w="0" w:type="dxa"/>
        </w:tblCellMar>
      </w:tblPr>
      <w:tblGrid>
        <w:gridCol w:w="2210"/>
        <w:gridCol w:w="90"/>
        <w:gridCol w:w="3665"/>
        <w:gridCol w:w="90"/>
        <w:gridCol w:w="138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9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Edmund Nabrotzky </w:t>
            </w:r>
          </w:p>
        </w:tc>
        <w:tc>
          <w:tcPr>
            <w:tcW w:w="9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Edmund Nabrotzky </w:t>
            </w:r>
          </w:p>
        </w:tc>
        <w:tc>
          <w:tcPr>
            <w:tcW w:w="9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Charles Maddox </w:t>
            </w:r>
          </w:p>
        </w:tc>
        <w:tc>
          <w:tcPr>
            <w:tcW w:w="9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Charles Maddox </w:t>
            </w:r>
          </w:p>
        </w:tc>
        <w:tc>
          <w:tcPr>
            <w:tcW w:w="9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Jeff Saling</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Jeff Saling</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Sheldon Paul</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Sheldon Paul</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Phyllis Newhouse</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Phyllis Newhouse</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Janice Bryant Howroyd</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Janice Bryant Howroyd</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Walter Skowronski</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Walter Skowronski</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Dr. David Carlson</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11, 2026</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Dr. David Carlson</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8003701ex4-1.htm"/>
      <w:bookmarkStart w:id="37" w:name="ksea028003701ex41"/>
      <w:bookmarkEnd w:id="36"/>
      <w:bookmarkEnd w:id="37"/>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securities of CID HoldCo, Inc. (the "Company," "we," "our," or "us") based on the terms and provisions of the Company's Amended and Restated Certificate of Incorporation (the “Charter”) and Bylaws (the “Bylaws” and, together with the “Charter”, the "Charter Documents"), which are included as Exhibits to our most recent Annual Report on Form 10-K filed with the U.S. Securities and Exchange Commission (this "Form 10-K"). The following description may not be complete and is subject to, and qualified in its entirety by reference to, the terms and provisions of the Charter Documents. We encourage you to read our Charter Documents and applicable provisions of Delaware law for additional information. Capitalized terms used, but not otherwise defined in this exhibit, have the meanings ascribed to them in the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300,000,000 shares of Common Stock, par value $0.0001 per share, of which 29,273,321 shares were issued and outstanding as of December 31, 2025. The Company's authorized share capital also consists of up to 10,000,000 shares of preferred stock, issuable in series. The Board of Directors of the Company (the “Board”) has the authority, without further action by the Company's stockholders, to issue up to 10,000,000 shares of preferred stock in one or more series and to fix the rights, preferences, privileges, and restrictions thereof. No shares of preferred stock were issued and outstanding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and warrants are currently listed on The Nasdaq Global Market under the symbols "DAIC" and "DAICW,"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Company's Common Stock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shares of Common Stock are entitled to receive such dividends, if any, as may be declared from time-to-time by the Board out of legally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the holders of any outstanding series of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Pre-emptive and Redemption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that certain Loan Agreement, dated as of December 4, 2025 (the “Loan Agreement”), between the Company and the lender party thereto (the “Lender”), the Company entered into that certain Registration Rights Agreement, dated as of December 4, 2025 (the “Registration Rights Agreement”). Pursuant to the Registration Rights Agreement, the Company granted certain registration rights to the Lender with respect to any shares of Common Stock issued to the Lender upon the conversion of the notes issued pursuant to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Charter provides that, unless the Company consents in writing to the selection of an alternative forum, the sole and exclusive forum, to the fullest extent permitted by law, for (1) any derivative action or proceeding brought on the Company's behalf, (2) any action asserting a claim of breach of a fiduciary duty owed by any of the Company's directors, officers, employees or agents or its stockholders, (3) any action asserting a claim against the Company or any director or officer arising pursuant to any provision of the Delaware General Corporation Law ("DGCL"), the Company's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the Board will consist of three classes of directors, Class I, Class II and Class III, with the members of the Board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Charter limits the Company's directors' liability to the fullest extent permitted under the DGCL. The DGCL allows for directors of a corporation to not be personally liable for monetary damages for breach of their fiduciary duties as directors, except for liability: (1) for any breach of the director’s duty of loyalty to the Company or its stockholders; (2) for any act or omission not in good faith or that involves intentional misconduct or a knowing violation of law; (3) for any unlawful payment of dividends or redemption of shares; or (4) for any transaction from which the director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 The Company's Charter does not eliminate a director's duty of care and, in appropriate circumstances, equitable remedies, such as injunctive or other forms of non-monetary relief, remain available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and the Company's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 The Company maintains a directors' and officers' insurance policy pursuant to which its directors and officers are insured against liability for actions taken in their capacities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required in the Company's Charter and Bylaws, the Company has entered into an indemnification agreement with each member of its Board of Directors and each of its officers. These agreements provide for the indemnification of the Company's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Company's Charter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outstanding for the purchase of one share of Common Stock is exercisable for one share of Common Stock, with all other terms of such warrants remaining unchanged. The following is a 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became exercisable on July 18, 2025. As of December 31, 2025, there were (i) public warrants to purchase an aggregate of 15,654,983 shares of Common Stock (the "Public Warrants") and (ii) private placement warrants to purchase an aggregate of 655,000 shares of Common Stock (the “Private Placement Warrants” and together with the Public Warrants, the “Warrants”) outstanding. Each Warrant is exercisable to purchase one share of Common Stock at an exercise price of $11.50 per share. The Public Warrants were originally issued by ShoulderUp Technology Acquisition Corp and were assumed by the Company in connection with the Business Combination pursuant to the Warrant Assumption and Assignment Agreement. The Public Warrants are listed on the Nasdaq Global Market under the symbol "DAICW." The Private Placement Warrants were originally issued to the Sponsor as part of the Private Placement Units in a private placement at a price of $10.00 per Private Placement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registration statement on Form S-1 (File No. 333-290052) (the “Registration Statement”) with the SEC for the registration, under the Securities Act, of the Common Stock issuable upon exercise of the Warrants. The Registration Statement was declared effective on September 18, 2025 and the Company will use commercially reasonable efforts to maintain the effectiveness of the Registration Statement, and a current prospectus relating thereto, until the expiration of the Warrants in accordance with the provisions of the Warrant Agreement. During any period when the Company will have failed to maintain an effective registration statement or a current prospectus, warrant holders may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for Cash when the price per share of Common Stock equals or exceeds $18.00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in whole and not in part;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335"/>
        <w:gridCol w:w="9769"/>
      </w:tblGrid>
      <w:tr>
        <w:trPr/>
        <w:tc>
          <w:tcPr>
            <w:tcW w:w="10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Symbol" w:hAnsi="Symbol"/>
              </w:rPr>
            </w:pPr>
            <w:r>
              <w:rPr>
                <w:rFonts w:ascii="Symbol" w:hAnsi="Symbol"/>
              </w:rPr>
              <w:t>·</w:t>
            </w:r>
          </w:p>
        </w:tc>
        <w:tc>
          <w:tcPr>
            <w:tcW w:w="9769" w:type="dxa"/>
            <w:tcBorders/>
            <w:vAlign w:val="center"/>
          </w:tcPr>
          <w:p>
            <w:pPr>
              <w:pStyle w:val="TableContents"/>
              <w:bidi w:val="0"/>
              <w:spacing w:before="0" w:after="283"/>
              <w:jc w:val="left"/>
              <w:rPr/>
            </w:pPr>
            <w:r>
              <w:rPr/>
              <w:t>at a price of $0.01 per Public Warrant;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a minimum of 30 days’ prior written notice of redemption (the “30-day redemption period”) to each warrant holder;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 and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 Election to Limit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consummates its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the Private Placement Warrants have terms and provisions that are identical to those of the Public Warrants. The Private Placement Warrants (including the Common Stock issuable upon exercise of such Private Placement Warrants) are not redeemable by the Company so long as they are held by the Sponsor, members of the Sponsor, or their permitted transferees. The Sponsor, members of the Sponsor, or their permitted transferees have the option to exercise the Private Placement Warrants on a cashless basis. If the Private Placement Warrants are held by holders other than the Sponsor, members of the Sponsor, the Wentworth Members or their permitted transferees, the Private Placement Warrants will be redeemable by the Company in all redemption scenarios and exercisable by the holders on the same basis as the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Placement Warrants elect to exercise their Private Placement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Placement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Placement Warrants on a cashless basis is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shares of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Stockholders’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Bylaws. Further, the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Stockholder Proposals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disclosure of the date of such annual meeting was first made by the Company (such notice within such time periods, “</w:t>
      </w:r>
      <w:r>
        <w:rPr>
          <w:rFonts w:ascii="Times New Roman;Times;Serif" w:hAnsi="Times New Roman;Times;Serif"/>
          <w:b/>
          <w:i/>
          <w:caps w:val="false"/>
          <w:smallCaps w:val="false"/>
          <w:sz w:val="20"/>
        </w:rPr>
        <w:t>Timely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stockholder may bring an action in the Company’s name to procure a judgment in its favor, also known as a derivative action, provided that the stockholder bringing the action is a holder of the Company’s shares at the time of the transaction to which the action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and Warrants are listed on the Nasdaq under the symbols “DAIC” and “DAICW,”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Company’s securities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8003701ex14-1.htm"/>
      <w:bookmarkStart w:id="39" w:name="ksea028003701ex141"/>
      <w:bookmarkEnd w:id="38"/>
      <w:bookmarkEnd w:id="39"/>
      <w:r>
        <w:rPr>
          <w:rFonts w:ascii="Times New Roman;Times;Serif" w:hAnsi="Times New Roman;Times;Serif"/>
          <w:b/>
          <w:i w:val="false"/>
          <w:caps w:val="false"/>
          <w:smallCaps w:val="false"/>
          <w:sz w:val="20"/>
        </w:rPr>
        <w:t>Exhibit 14.1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Code has traditionally embodied policies encouraging individual and peer integrity, ethical behavior and our responsibilities to our employees, customers, suppliers, stockholders and the public, and includes: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t>Prohibiting conflicts of interest (including protecting corporate opportunities)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left"/>
              <w:rPr/>
            </w:pPr>
            <w:r>
              <w:rPr/>
              <w:t>Protecting our confidential and proprietary information and that of our customers and vendors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pPr>
            <w:r>
              <w:rPr/>
              <w:t>Treating our employees, customers, suppliers and competitors fairly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Encouraging full, fair, accurate, timely and understandable disclosure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left"/>
              <w:rPr/>
            </w:pPr>
            <w:r>
              <w:rPr/>
              <w:t>Protecting and properly using company assets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left"/>
              <w:rPr/>
            </w:pPr>
            <w:r>
              <w:rPr/>
              <w:t>Complying with laws, rules and regulations (including insider trading laws)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left"/>
              <w:rPr/>
            </w:pPr>
            <w:r>
              <w:rPr/>
              <w:t>Encouraging the reporting of any unlawful or unethical behavior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information below are those portions of our code of business conduct and ethics, which address the issues listed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caps/>
              </w:rPr>
            </w:pPr>
            <w:r>
              <w:rPr>
                <w:caps/>
              </w:rPr>
              <w:t>1.</w:t>
            </w:r>
          </w:p>
        </w:tc>
        <w:tc>
          <w:tcPr>
            <w:tcW w:w="8902" w:type="dxa"/>
            <w:tcBorders/>
            <w:vAlign w:val="center"/>
          </w:tcPr>
          <w:p>
            <w:pPr>
              <w:pStyle w:val="TableContents"/>
              <w:bidi w:val="0"/>
              <w:spacing w:before="0" w:after="283"/>
              <w:jc w:val="left"/>
              <w:rPr/>
            </w:pPr>
            <w:r>
              <w:rPr/>
              <w:t>Policy Statement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rules require that CID HoldCo,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provide a code of conduct for all of its directors, officers and employees. The Company is committed to being a good corporate citizen. The Company’s policy is to conduct its business affairs honestly and in an ethical manner. That goal cannot be achieved unless you individually accept your responsibility to promote integrity and demonstrate the highest level of ethical conduct in all of your activities. Activities that may call into question the Company’s reputation or integrity should be avoided. The Company understands that not every situation is black and white. The key to compliance with this Code of Business Conduct and Ethics (this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is exercising good judgment. This means following the spirit of this Code and the law, doing the “right” thing and acting ethically even when the law is not specific. When you are faced with a business situation where you must determine the right thing to do, you should ask the following questions: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left"/>
              <w:rPr/>
            </w:pPr>
            <w:r>
              <w:rPr/>
              <w:t>Am I following the spirit, as well as the letter, of any law or Company policy?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8"/>
        <w:gridCol w:w="9780"/>
      </w:tblGrid>
      <w:tr>
        <w:trPr/>
        <w:tc>
          <w:tcPr>
            <w:tcW w:w="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w:t>
            </w:r>
          </w:p>
        </w:tc>
        <w:tc>
          <w:tcPr>
            <w:tcW w:w="9780" w:type="dxa"/>
            <w:tcBorders/>
            <w:vAlign w:val="center"/>
          </w:tcPr>
          <w:p>
            <w:pPr>
              <w:pStyle w:val="TableContents"/>
              <w:bidi w:val="0"/>
              <w:spacing w:before="0" w:after="283"/>
              <w:jc w:val="left"/>
              <w:rPr/>
            </w:pPr>
            <w:r>
              <w:rPr/>
              <w:t xml:space="preserve">Would I want my actions reported on </w:t>
            </w:r>
            <w:r>
              <w:rPr>
                <w:i/>
              </w:rPr>
              <w:t>60 Minutes</w:t>
            </w:r>
            <w:r>
              <w:rPr/>
              <w: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pPr>
            <w:r>
              <w:rPr/>
              <w:t>What would my family, friends or neighbors think of my actions?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pPr>
            <w:r>
              <w:rPr/>
              <w:t>Will there be any direct or indirect negative consequences for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Managers set an example for other employees and are often responsible for directing the actions of others. Every manager and supervisor is expected to take necessary actions to ensure compliance with this Code, to provide guidance and assist employees in resolving questions concerning this Code and to permit employees to express any concerns regarding compliance with this Code. No one has the authority to order another employee to act in a manner that is contrary to this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1"/>
        <w:gridCol w:w="9609"/>
      </w:tblGrid>
      <w:tr>
        <w:trPr/>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caps/>
              </w:rPr>
            </w:pPr>
            <w:r>
              <w:rPr>
                <w:caps/>
              </w:rPr>
              <w:t>2.</w:t>
            </w:r>
          </w:p>
        </w:tc>
        <w:tc>
          <w:tcPr>
            <w:tcW w:w="9609" w:type="dxa"/>
            <w:tcBorders/>
            <w:vAlign w:val="center"/>
          </w:tcPr>
          <w:p>
            <w:pPr>
              <w:pStyle w:val="TableContents"/>
              <w:bidi w:val="0"/>
              <w:spacing w:before="0" w:after="283"/>
              <w:jc w:val="left"/>
              <w:rPr/>
            </w:pPr>
            <w:r>
              <w:rPr/>
              <w:t>Compliance with Laws and Regulations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seeks to comply with both the letter and spirit of the laws and regulations in all countries in which it operates.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full compliance with the laws and regulations of the cities, states and countries in which it operates. You must comply with all applicable laws, rules and regulations in performing your duties for the Company. Numerous federal, state and local laws and regulations define and establish obligations with which the Company, its employees and agents must comply. Under certain circumstances, local country law may establish requirements that differ from this Code. You are expected to comply with all local country laws in conducting the Company’s business. If you violate these laws or regulations in performing your duties for the Company, you not only risk individual indictment, prosecution and penalties, as well as civil actions and penalties, you also subject the Company to the same risks and penalties. If you violate these laws in performing your duties for the Company, you may be subject to immediate disciplinary action, including possible termination of your employment or affiliation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explanation of certain of the key laws with which you should be familiar can be found in the employee handbook. As explained below, you should always consult your manager or the Compliance Officer with any questions about the legality of you or your colleagues’ conduct.</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65"/>
        <w:gridCol w:w="344"/>
        <w:gridCol w:w="9796"/>
      </w:tblGrid>
      <w:tr>
        <w:trPr/>
        <w:tc>
          <w:tcPr>
            <w:tcW w:w="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caps/>
              </w:rPr>
            </w:pPr>
            <w:r>
              <w:rPr>
                <w:caps/>
              </w:rPr>
              <w:t>3.</w:t>
            </w:r>
          </w:p>
        </w:tc>
        <w:tc>
          <w:tcPr>
            <w:tcW w:w="9796" w:type="dxa"/>
            <w:tcBorders/>
            <w:vAlign w:val="center"/>
          </w:tcPr>
          <w:p>
            <w:pPr>
              <w:pStyle w:val="TableContents"/>
              <w:bidi w:val="0"/>
              <w:spacing w:before="0" w:after="283"/>
              <w:jc w:val="left"/>
              <w:rPr/>
            </w:pPr>
            <w:r>
              <w:rPr/>
              <w:t>Full, Fair, Accurate, Timely and Understandable Disclosure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of paramount importance to the Company that all disclosure in reports and documents that the Company files with, or submits to, the SEC, and in other public communications made by the Company is full, fair, accurate, timely and understandable. You must take all steps available to assist the Company in fulfilling these responsibilities consistent with your role within the Company. In particular, you are required to provide prompt and accurate answers to all inquiries made to you in connection with the Company’s preparation of its public reports and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w:t>
      </w:r>
      <w:r>
        <w:rPr>
          <w:rFonts w:ascii="Times New Roman;Times;Serif" w:hAnsi="Times New Roman;Times;Serif"/>
          <w:b/>
          <w:i/>
          <w:caps w:val="false"/>
          <w:smallCaps w:val="false"/>
          <w:sz w:val="20"/>
        </w:rPr>
        <w:t>CEO</w:t>
      </w:r>
      <w:r>
        <w:rPr>
          <w:rFonts w:ascii="Times New Roman;Times;Serif" w:hAnsi="Times New Roman;Times;Serif"/>
          <w:b w:val="false"/>
          <w:i w:val="false"/>
          <w:caps w:val="false"/>
          <w:smallCaps w:val="false"/>
          <w:sz w:val="20"/>
        </w:rPr>
        <w:t>”) and Chief Financial Officer (“</w:t>
      </w:r>
      <w:r>
        <w:rPr>
          <w:rFonts w:ascii="Times New Roman;Times;Serif" w:hAnsi="Times New Roman;Times;Serif"/>
          <w:b/>
          <w:i/>
          <w:caps w:val="false"/>
          <w:smallCaps w:val="false"/>
          <w:sz w:val="20"/>
        </w:rPr>
        <w:t>CFO</w:t>
      </w:r>
      <w:r>
        <w:rPr>
          <w:rFonts w:ascii="Times New Roman;Times;Serif" w:hAnsi="Times New Roman;Times;Serif"/>
          <w:b w:val="false"/>
          <w:i w:val="false"/>
          <w:caps w:val="false"/>
          <w:smallCaps w:val="false"/>
          <w:sz w:val="20"/>
        </w:rPr>
        <w:t>”) are responsible for designing, establishing, maintaining, reviewing and evaluating on a quarterly basis the effectiveness of the Company’s disclosure controls and procedures (as such term is defined by applicable SEC rules). The Company’s CEO and CFO and such other Company officers designated from time to time by the Audit Committee of the Board of Directors shall be deemed to be the “Senior Officers” of the Company. Senior Officers shall take all steps necessary or advisable to ensure that all disclosure in reports and documents filed with or submitted to the SEC, and all disclosure in other public communication made by the Company, is full, fair, accurate, timely and understandable.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Officers are also responsible for establishing and maintaining adequate internal control over financial reporting to provide reasonable assurance regarding the reliability of financial reporting and the preparation of financial statements for external purposes in accordance with generally accepted accounting principles. Senior Officers will take all necessary steps to ensure compliance with established accounting procedures, the Company’s system of internal controls and generally accepted accounting principles. Senior Officers will ensure that the Company makes and keeps books, records and accounts, which, in reasonable detail, accurately and fairly reflect the transactions and dispositions of the assets of the Company. Senior Officers will also ensure that the Company devises and maintains a system of internal accounting controls sufficient to provide reasonable assurances that:</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left"/>
              <w:rPr/>
            </w:pPr>
            <w:r>
              <w:rPr/>
              <w:t>transactions are executed in accordance with management’s general or specific authorization;</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transactions are recorded as necessary (a) to permit preparation of financial statements in conformity with generally accepted accounting principles or any other criteria applicable to such statements, and (b) to maintain accountability for assets;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access to assets is permitted, and receipts and expenditures are made, only in accordance with management’s general or specific authorization;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recorded accountability for assets is compared with the existing assets at reasonable intervals and appropriate action is taken with respect to any differences, all to permit prevention or timely detection of unauthorized acquisition, use or disposition of assets that could have a material effect on the Company’s financial statements.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attempt to enter inaccurate or fraudulent information into the Company’s accounting system will not be tolerated and will result in disciplinary action, up to and including termination of employment.</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46"/>
        <w:gridCol w:w="247"/>
        <w:gridCol w:w="9912"/>
      </w:tblGrid>
      <w:tr>
        <w:trPr/>
        <w:tc>
          <w:tcPr>
            <w:tcW w:w="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caps/>
              </w:rPr>
            </w:pPr>
            <w:r>
              <w:rPr>
                <w:caps/>
              </w:rPr>
              <w:t>4.</w:t>
            </w:r>
          </w:p>
        </w:tc>
        <w:tc>
          <w:tcPr>
            <w:tcW w:w="9912" w:type="dxa"/>
            <w:tcBorders/>
            <w:vAlign w:val="center"/>
          </w:tcPr>
          <w:p>
            <w:pPr>
              <w:pStyle w:val="TableContents"/>
              <w:bidi w:val="0"/>
              <w:spacing w:before="0" w:after="283"/>
              <w:jc w:val="left"/>
              <w:rPr/>
            </w:pPr>
            <w:r>
              <w:rPr/>
              <w:t>Special Ethics Obligations For Employees With Financial Reporting Responsibilities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Senior Officer bears a special responsibility for promoting integrity throughout the Company. Furthermore, Senior Officers have a responsibility to foster a culture throughout the Company as a whole that ensures the fair and timely reporting of the Company’s results of operation and financial condition and other financial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this special role, Senior Officers are bound by the following Senior Officer Code of Ethics, and by accepting this Code each agrees that he or she will:</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perform his or her duties in an honest and ethical manner;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handle all actual or apparent conflicts of interest between his or her personal and professional relationships in an ethical manner;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take all necessary actions to ensure full, fair, accurate, timely and understandable disclosure in reports and documents that the Company files with, or submits to, government agencies and in other public communications;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left"/>
              <w:rPr/>
            </w:pPr>
            <w:r>
              <w:rPr/>
              <w:t>comply with all applicable laws, rules and regulations of federal, state and local governments;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left"/>
              <w:rPr/>
            </w:pPr>
            <w:r>
              <w:rPr/>
              <w:t>proactively promote and be an example of ethical behavior in the work environment.</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224"/>
        <w:gridCol w:w="1181"/>
        <w:gridCol w:w="8800"/>
      </w:tblGrid>
      <w:tr>
        <w:trPr/>
        <w:tc>
          <w:tcPr>
            <w:tcW w:w="22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caps/>
              </w:rPr>
            </w:pPr>
            <w:r>
              <w:rPr>
                <w:caps/>
              </w:rPr>
              <w:t>5.</w:t>
            </w:r>
          </w:p>
        </w:tc>
        <w:tc>
          <w:tcPr>
            <w:tcW w:w="8800" w:type="dxa"/>
            <w:tcBorders/>
            <w:vAlign w:val="center"/>
          </w:tcPr>
          <w:p>
            <w:pPr>
              <w:pStyle w:val="TableContents"/>
              <w:bidi w:val="0"/>
              <w:spacing w:before="0" w:after="283"/>
              <w:jc w:val="left"/>
              <w:rPr/>
            </w:pPr>
            <w:r>
              <w:rPr/>
              <w:t>Insider Trading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never trade securities on the basis of confidential information acquired through your employment or fiduciary relationship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prohibited under both federal law and Company policy from purchasing or selling Company stock, directly or indirectly, on the basis of material non-public information concerning the Company. Any person possessing material non-public information about the Company must not engage in transactions involving Company securities until this information has been released to the public. Generally, material information is that which would be expected to affect the investment decisions of a reasonable investor or the market price of the stock. You must also refrain from trading in the stock of other publicly held companies, such as existing or potential customers or suppliers, on the basis of material confidential information obtained in the course of your employment or service as a director. It is also illegal to recommend a stock to (i.e., “tip”) someone else on the basis of such information. If you have a question concerning the appropriateness or legality of a particular securities transaction, consult with the Company’s Compliance Officer. Officers, directors and certain other employees of the Company are subject to additional responsibilities under the Company’s insider trading compliance policy, a copy of which has been provided to each such officer, director and employee, and which can be obtained from the Company’s Compliance Officer.</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79"/>
        <w:gridCol w:w="417"/>
        <w:gridCol w:w="9709"/>
      </w:tblGrid>
      <w:tr>
        <w:trPr/>
        <w:tc>
          <w:tcPr>
            <w:tcW w:w="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caps/>
              </w:rPr>
            </w:pPr>
            <w:r>
              <w:rPr>
                <w:caps/>
              </w:rPr>
              <w:t>6.</w:t>
            </w:r>
          </w:p>
        </w:tc>
        <w:tc>
          <w:tcPr>
            <w:tcW w:w="9709" w:type="dxa"/>
            <w:tcBorders/>
            <w:vAlign w:val="center"/>
          </w:tcPr>
          <w:p>
            <w:pPr>
              <w:pStyle w:val="TableContents"/>
              <w:bidi w:val="0"/>
              <w:spacing w:before="0" w:after="283"/>
              <w:jc w:val="left"/>
              <w:rPr/>
            </w:pPr>
            <w:r>
              <w:rPr/>
              <w:t>Conflicts of Interest and Corporate Opportunities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must avoid any situation in which your personal interests conflict or even appear to conflict with the Company’s interests. You owe a duty to the Company not to compromise the Company’s legitimate interests and to advance such interests when the opportunity to do so arises in the course of your employment.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shall perform your duties to the Company in an honest and ethical manner. You shall handle all actual or apparent conflicts of interest between your personal and professional relationships in an ethical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avoid situations in which your personal, family or financial interests conflict or even appear to conflict with those of the Company. You may not engage in activities that compete with the Company or compromise its interests. You should not take for your own benefit opportunities discovered in the course of employment that you have reason to know would benefit the Company. The following are examples of actual or potential conflicts: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or a member of your family, receive improper personal benefits as a result of your position in the Company;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0"/>
        <w:gridCol w:w="9838"/>
      </w:tblGrid>
      <w:tr>
        <w:trPr/>
        <w:tc>
          <w:tcPr>
            <w:tcW w:w="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left"/>
              <w:rPr/>
            </w:pPr>
            <w:r>
              <w:rPr/>
              <w:t>you use the Company’s property for your personal benefit;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engage in activities that interfere with your loyalty to the Company or your ability to perform Company duties or responsibilities effectively;</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work simultaneously (whether as an employee or a consultant) for a competitor, customer or supplier;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or a member of your family, have a financial interest in a customer, supplier or competitor which is significant enough to cause divided loyalty with the Company or the appearance of divided loyalty (the significance of a financial interest depends on many factors, such as the size of the investment in relation to your income, net worth and/or financial needs, your potential to influence decisions that could impact your interests, and the nature of the business or level of competition between the Company and the supplier, customer or competitor);</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or a member of your family, acquire an interest in property (such as real estate, patent or other intellectual property rights or securities) in which you have reason to know the Company has, or might have, a legitimate interest;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or a member of your family, receive a loan or a guarantee of a loan from a customer, supplier or competitor (other than a loan from a financial institution made in the ordinary course of business and on an arm’s-length basis);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divulge or use the Company’s confidential information – such as financial data, customer information, or computer programs – for your own personal or business purposes;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make gifts or payments, or provide special favors, to customers, suppliers or competitors (or their immediate family members) with a value significant enough to cause the customer, supplier or competitor to make a purchase, or take or forego other action, which is beneficial to the Company and which the customer, supplier or competitor would not otherwise have taken; or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you are given the right to buy stock in other companies or you receive cash or other payments in return for promoting the services of an advisor, such as an investment banker, to the Company.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you, nor members of your immediate family, are permitted to solicit or accept valuable gifts, payments, special favors or other consideration from customers, suppliers or competitors. Any gifts may be accepted only on behalf of the Company with the approval of your manager and the Compliance Officer. Any gifts should be turned over to Human Resources for appropriate distribution. Any exchange of gifts must be conducted so that there is no appearance of impropriety. Gifts may be given only in compliance with the Foreign Corrupt Practices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Conflicts are not always clear-cut. If you become aware of a conflict described above or any other conflict, potential conflict, or have a question as to a potential conflict, you should consult with your manager or the Company’s Compliance Officer and/or follow the procedures described in Sections 10 and 11 of this Code. If you become involved in a situation that gives rise to an actual conflict, you </w:t>
      </w:r>
      <w:r>
        <w:rPr>
          <w:rFonts w:ascii="Times New Roman;Times;Serif" w:hAnsi="Times New Roman;Times;Serif"/>
          <w:b/>
          <w:i w:val="false"/>
          <w:caps w:val="false"/>
          <w:smallCaps w:val="false"/>
          <w:sz w:val="20"/>
        </w:rPr>
        <w:t>must</w:t>
      </w:r>
      <w:r>
        <w:rPr>
          <w:rFonts w:ascii="Times New Roman;Times;Serif" w:hAnsi="Times New Roman;Times;Serif"/>
          <w:b w:val="false"/>
          <w:i w:val="false"/>
          <w:caps w:val="false"/>
          <w:smallCaps w:val="false"/>
          <w:sz w:val="20"/>
        </w:rPr>
        <w:t xml:space="preserve"> inform your supervisor or the Company’s Compliance Officer of the conflict.</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caps/>
              </w:rPr>
            </w:pPr>
            <w:r>
              <w:rPr>
                <w:caps/>
              </w:rPr>
              <w:t>7.</w:t>
            </w:r>
          </w:p>
        </w:tc>
        <w:tc>
          <w:tcPr>
            <w:tcW w:w="8763" w:type="dxa"/>
            <w:tcBorders/>
            <w:vAlign w:val="center"/>
          </w:tcPr>
          <w:p>
            <w:pPr>
              <w:pStyle w:val="TableContents"/>
              <w:bidi w:val="0"/>
              <w:spacing w:before="0" w:after="283"/>
              <w:jc w:val="left"/>
              <w:rPr/>
            </w:pPr>
            <w:r>
              <w:rPr/>
              <w:t>Confidentiality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confidential information concerning the Company obtained by you is the property of the Company and must be protected.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 includes all non-public information that might be of use to competitors, or harmful to the Company or its customers, if disclosed. You must maintain the confidentiality of such information entrusted to you by the Company, its customers and its suppliers, except when disclosure is authorized by the Company or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confidential information include, but are not limited to: the Company’s trade secrets; business trends and projections; information about financial performance; new product or marketing plans; research and development ideas or information; manufacturing processes; information about potential acquisitions, divestitures and investments; stock splits, public or private securities offerings or changes in dividend policies or amounts; significant personnel changes; and existing or potential major contracts, orders, suppliers, customers or finance sources or the loss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obligation with respect to confidential information extends beyond the workplace. In that respect, it applies to communications with your family members and continues to apply even after your employment or director relationship with the Company terminates.</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265"/>
        <w:gridCol w:w="1400"/>
        <w:gridCol w:w="8540"/>
      </w:tblGrid>
      <w:tr>
        <w:trPr/>
        <w:tc>
          <w:tcPr>
            <w:tcW w:w="26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caps/>
              </w:rPr>
            </w:pPr>
            <w:r>
              <w:rPr>
                <w:caps/>
              </w:rPr>
              <w:t>8.</w:t>
            </w:r>
          </w:p>
        </w:tc>
        <w:tc>
          <w:tcPr>
            <w:tcW w:w="8540" w:type="dxa"/>
            <w:tcBorders/>
            <w:vAlign w:val="center"/>
          </w:tcPr>
          <w:p>
            <w:pPr>
              <w:pStyle w:val="TableContents"/>
              <w:bidi w:val="0"/>
              <w:spacing w:before="0" w:after="283"/>
              <w:jc w:val="left"/>
              <w:rPr/>
            </w:pPr>
            <w:r>
              <w:rPr/>
              <w:t>Fair Dealing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goal is to conduct our business with integrity.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endeavor to deal honestly with the Company’s customers, suppliers, competitors and employees. Under federal and state laws, the Company is prohibited from engaging in unfair methods of competition, and unfair or deceptive acts and practices. You should not take unfair advantage of anyone through manipulation, concealment, abuse of privileged information, misrepresentation of material facts, or any other unfair dealing.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prohibited conduct include, but are not limited to:</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left"/>
              <w:rPr/>
            </w:pPr>
            <w:r>
              <w:rPr/>
              <w:t>bribery or payoffs to induce business or breaches of contracts by others;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6"/>
        <w:gridCol w:w="9856"/>
      </w:tblGrid>
      <w:tr>
        <w:trPr/>
        <w:tc>
          <w:tcPr>
            <w:tcW w:w="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6" w:type="dxa"/>
            <w:tcBorders/>
            <w:vAlign w:val="center"/>
          </w:tcPr>
          <w:p>
            <w:pPr>
              <w:pStyle w:val="TableContents"/>
              <w:bidi w:val="0"/>
              <w:spacing w:before="0" w:after="283"/>
              <w:jc w:val="left"/>
              <w:rPr/>
            </w:pPr>
            <w:r>
              <w:rPr/>
              <w:t>acquiring a competitor’s trade secrets through bribery or theft;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making false, deceptive or disparaging claims or comparisons about competitors or their products or services; or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left"/>
              <w:rPr/>
            </w:pPr>
            <w:r>
              <w:rPr/>
              <w:t>mislabeling products or services.</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82"/>
        <w:gridCol w:w="436"/>
        <w:gridCol w:w="9687"/>
      </w:tblGrid>
      <w:tr>
        <w:trPr/>
        <w:tc>
          <w:tcPr>
            <w:tcW w:w="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caps/>
              </w:rPr>
            </w:pPr>
            <w:r>
              <w:rPr>
                <w:caps/>
              </w:rPr>
              <w:t>9.</w:t>
            </w:r>
          </w:p>
        </w:tc>
        <w:tc>
          <w:tcPr>
            <w:tcW w:w="9687" w:type="dxa"/>
            <w:tcBorders/>
            <w:vAlign w:val="center"/>
          </w:tcPr>
          <w:p>
            <w:pPr>
              <w:pStyle w:val="TableContents"/>
              <w:bidi w:val="0"/>
              <w:spacing w:before="0" w:after="283"/>
              <w:jc w:val="left"/>
              <w:rPr/>
            </w:pPr>
            <w:r>
              <w:rPr/>
              <w:t>Protection and Proper Use of Company Assets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endeavor to protect the Company’s assets and ensure their proper 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assets, both tangible and intangible, are to be used only for legitimate business purposes of the Company and only by authorized employees or consultants. Intangible assets include intellectual property such as trade secrets, patents, trademarks and copyrights, business, marketing and service plans, engineering and manufacturing ideas, designs, databases, Company records, salary information, and any unpublished financial data and reports. Unauthorized alteration, destruction, use, disclosure or distribution of Company assets violates Company policy and this Code. Theft or waste of, or carelessness in using, these assets have a direct adverse impact on the Company’s operations and profitability and will not be tolerated.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computers, voice mail, electronic mail (e-mail) and Internet access to employees for the purpose of achieving the Company’s business objectives. As a result, the Company has the right to access, reprint, publish, or retain any information created, sent or contained in any of the Company’s computers or e-mail systems of any Company machine. You may not use e-mail, the Internet or voice mail for any illegal purpose or in any manner that is contrary to the Company’s policies or the standards embodied in this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make copies of, resell or transfer copyrighted publications, including software, manuals, articles, books and databases being used in the Company, that were created by another entity and licensed to the Company, unless you are authorized to do so under the applicable license agreement. In no event should you load or use, on any Company computer, any software, third party content or database without receiving the prior written permission of the Compliance Officer to do so. You must refrain from transferring any data or information to any Company computer other than for Company use. You may use a handheld computing device or mobile phone in connection with your work for the Company, but must not use such device or phone to access, load or transfer content, software or data in violation of any applicable law or regulation or without the permission of the owner of such content, software or data. If you should have any question as to what is permitted in this regard, please consult with the Company’s Compliance Officer.</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caps/>
              </w:rPr>
            </w:pPr>
            <w:r>
              <w:rPr>
                <w:caps/>
              </w:rPr>
              <w:t>10.</w:t>
            </w:r>
          </w:p>
        </w:tc>
        <w:tc>
          <w:tcPr>
            <w:tcW w:w="9859" w:type="dxa"/>
            <w:tcBorders/>
            <w:vAlign w:val="center"/>
          </w:tcPr>
          <w:p>
            <w:pPr>
              <w:pStyle w:val="TableContents"/>
              <w:bidi w:val="0"/>
              <w:spacing w:before="0" w:after="283"/>
              <w:jc w:val="left"/>
              <w:rPr/>
            </w:pPr>
            <w:r>
              <w:rPr/>
              <w:t>Reporting Violations of Company Policies and Receipt of Complaints Regarding Financial Reporting or Accounting Issues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report any violation or suspected violation of this Code to the appropriate Company personnel or via the Company’s anonymous and confidential reporting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efforts to ensure observance of, and adherence to, the goals and policies outlined in this Code mandate that you promptly bring to the attention of your manager and/or a more senior employee of the Company, any material transaction, relationship, act, failure to act, occurrence or practice that you believe, in good faith, is inconsistent with, in violation of, or reasonably could be expected to give rise to a violation of, this Code. You should report any suspected violations of the Company’s financial reporting obligations or any complaints or concerns about questionable accounting or auditing practices in accordance with the procedures set forth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are some approaches to handling your reporting obligations: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 the event you believe a violation of this Code, or a violation of applicable laws and/or governmental regulations, has occurred, or you have observed or become aware of conduct which appears to be contrary to this Code, immediately report the situation to your supervisor. Supervisors who receive any report of a suspected violation must report the matter to the General Counsel.</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If you have or receive notice of a complaint or concern regarding the Company’s financial disclosure, accounting practices, internal accounting controls, auditing, or questionable accounting or auditing matters, you </w:t>
            </w:r>
            <w:r>
              <w:rPr>
                <w:b/>
              </w:rPr>
              <w:t>must</w:t>
            </w:r>
            <w:r>
              <w:rPr/>
              <w:t xml:space="preserve"> immediately advise your supervisor.</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t>If you wish to report any such matters anonymously or confidentially, then you may do so as follows:</w:t>
            </w:r>
          </w:p>
        </w:tc>
      </w:tr>
    </w:tbl>
    <w:p>
      <w:pPr>
        <w:pStyle w:val="TextBody"/>
        <w:bidi w:val="0"/>
        <w:spacing w:before="0" w:after="0"/>
        <w:ind w:left="180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left"/>
              <w:rPr/>
            </w:pPr>
            <w:r>
              <w:rPr/>
              <w:t>Mail a description of the suspected violation or other complaint or concern to:</w:t>
            </w:r>
          </w:p>
        </w:tc>
      </w:tr>
    </w:tbl>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Chair</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5661 S Cameron St, Suite 100,</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180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6"/>
        <w:gridCol w:w="9807"/>
      </w:tblGrid>
      <w:tr>
        <w:trPr/>
        <w:tc>
          <w:tcPr>
            <w:tcW w:w="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807" w:type="dxa"/>
            <w:tcBorders/>
            <w:vAlign w:val="center"/>
          </w:tcPr>
          <w:p>
            <w:pPr>
              <w:pStyle w:val="TableContents"/>
              <w:bidi w:val="0"/>
              <w:spacing w:before="0" w:after="283"/>
              <w:jc w:val="left"/>
              <w:rPr/>
            </w:pPr>
            <w:r>
              <w:rPr/>
              <w:t>Call our toll free Compliance Hotline at: [_________</w:t>
            </w:r>
            <w:r>
              <w:rPr>
                <w:shd w:fill="FFFFFF" w:val="clear"/>
              </w:rPr>
              <w: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Use common sense and good judgment; Act in good faith</w:t>
            </w:r>
            <w:r>
              <w:rPr/>
              <w:t>. You are expected to become familiar with and to understand the requirements of this Code. If you become aware of a suspected violation, don’t try to investigate it or resolve it on your own. Prompt disclosure to the appropriate parties is vital to ensuring a thorough and timely investigation and resolution. The circumstances should be reviewed by appropriate personnel as promptly as possible, and delay may affect the results of any investigation. A violation of this Code, or of applicable laws and/or governmental regulations, is a serious matter and could have legal implications. Allegations of such behavior are not taken lightly and should not be made to embarrass someone or put him or her in a false light. Reports of suspected violations should always be made in good faith.</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Internal investigation</w:t>
            </w:r>
            <w:r>
              <w:rPr/>
              <w:t>. When an alleged violation of this Code, applicable laws and/or governmental regulations is reported, the Company will take appropriate action in accordance with the compliance procedures outlined in Section 11 of this Code. You are expected to cooperate in any internal investigations of alleged misconduct or violations of this Code or of applicable laws or regulations.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No fear of retaliation</w:t>
            </w:r>
            <w:r>
              <w:rPr/>
              <w:t>. The Company strictly prohibits discrimination, retaliation or harassment of any kind by any Company officer, director, employee or agent against any person who provides truthful information to a Company or law enforcement official concerning a possible violation of any law, regulation or Company policy, including this Code. Persons who discriminate, retaliate or harass may be subject to civil, criminal and administrative penalties, as well as disciplinary action, up to and including termination of employment. In cases in which you report a suspected violation in good faith and are not engaged in the questionable conduct, the Company will attempt to keep its discussions with you confidential to the extent reasonably possible. In the course of its investigation, the Company may find it necessary to share information with others on a “need to know” basis. No retaliation shall be taken against you for reporting alleged violations while acting in good faith.</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46"/>
        <w:gridCol w:w="1236"/>
        <w:gridCol w:w="8823"/>
      </w:tblGrid>
      <w:tr>
        <w:trPr/>
        <w:tc>
          <w:tcPr>
            <w:tcW w:w="14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caps/>
              </w:rPr>
            </w:pPr>
            <w:r>
              <w:rPr>
                <w:caps/>
              </w:rPr>
              <w:t>11.</w:t>
            </w:r>
          </w:p>
        </w:tc>
        <w:tc>
          <w:tcPr>
            <w:tcW w:w="8823" w:type="dxa"/>
            <w:tcBorders/>
            <w:vAlign w:val="center"/>
          </w:tcPr>
          <w:p>
            <w:pPr>
              <w:pStyle w:val="TableContents"/>
              <w:bidi w:val="0"/>
              <w:spacing w:before="0" w:after="283"/>
              <w:jc w:val="left"/>
              <w:rPr/>
            </w:pPr>
            <w:r>
              <w:rPr/>
              <w:t>Compliance Procedures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this Code as part of its overall policies and procedures. To the extent that other Company policies and procedures conflict with this Code, you should follow this Code. This Code applies to all Company directors and Company employees, including officers, in all locations.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is based on the Company’s core values, good business practices and applicable law. The existence of this Code, however, does not ensure that directors, officers and employees will comply with it or act in a legal and ethical manner. To achieve optimal legal and ethical behavior, individuals who are subject to this Code must know and understand this Code as it applies to them and as it applies to others. You must champion this Code and assist others in knowing and understanding it.</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Compliance</w:t>
            </w:r>
            <w:r>
              <w:rPr/>
              <w:t>. You are expected to become familiar with and understand the requirements of this Code. Most importantly, you must comply with it.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CEO Responsibility</w:t>
            </w:r>
            <w:r>
              <w:rPr/>
              <w:t>. The Company’s CEO shall be responsible for ensuring that this Code is established and effectively communicated to all employees, officers and directors. Although the day-to-day compliance issues will be the responsibility of the Company’s managers, the CEO has ultimate accountability with respect to the overall implementation of and successful compliance with this Code.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Corporate Compliance Management</w:t>
            </w:r>
            <w:r>
              <w:rPr/>
              <w:t>. The CEO shall select an employee to act as the Corporate Compliance Officer. The Corporate Compliance Officer is currently Clinton Oas. The Compliance Officer is charged with ensuring communication about, training on, monitoring of, and overall compliance with this Code. The Compliance Officer will, with the assistance and cooperation of the Company’s officers, directors and managers, foster an atmosphere where employees are comfortable in communicating and/or reporting concerns and possible Code violations.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Internal Reporting of Violations</w:t>
            </w:r>
            <w:r>
              <w:rPr/>
              <w:t>. The Company’s efforts to ensure observance of, and adherence to, the goals and policies outlined in this Code mandate that all employees, officers and directors of the Company report suspected violations in accordance with Section 10 of this Code.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Screening of Employees</w:t>
            </w:r>
            <w:r>
              <w:rPr/>
              <w:t>. The Company shall exercise due diligence when hiring and promoting employees and, in particular, when conducting an employment search for a position involving the exercise of substantial discretionary authority, such as a member of the executive team, a senior management position or an employee with financial management responsibilities. The Company shall make reasonable inquiries into the background of each individual who is a candidate for such a position. All such inquiries shall be made in accordance with applicable law and good business practice.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Access to this Code</w:t>
            </w:r>
            <w:r>
              <w:rPr/>
              <w:t>. The Company shall ensure that employees, officers and directors may access this Code on the Company’s website. In addition, each current employee will be provided with a copy of this Code. New employees will receive a copy of this Code as part of their new hire information. From time to time, the Company will sponsor employee training programs in which this Code and other Company policies and procedures will be discussed.</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Monitoring</w:t>
            </w:r>
            <w:r>
              <w:rPr/>
              <w:t>. The officers of the Company shall be responsible for reviewing this Code with all of the Company’s managers. In turn, the Company’s managers with supervisory responsibilities should review this Code with his/her direct reports. Managers are the “go to” persons for employee questions and concerns relating to this Code, especially in the event of a potential violation. Managers or supervisors will immediately report any violations or allegations of violations to the Compliance Officer. Managers will work with the Compliance Officer in assessing areas of concern, potential violations, any needs for enhancement of this Code or remedial actions to effect this Code’s policies and overall compliance with this Code and other related policies.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Auditing</w:t>
            </w:r>
            <w:r>
              <w:rPr/>
              <w:t>. An internal audit team selected by the Audit Committee will be responsible for auditing the Company’s compliance with this Code.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Internal Investigation</w:t>
            </w:r>
            <w:r>
              <w:rPr/>
              <w:t>. When an alleged violation of this Code is reported, the Company shall take prompt and appropriate action in accordance with the law and regulations and otherwise consistent with good business practice. If the suspected violation appears to involve either a possible violation of law or an issue of significant corporate interest, or if the report involves a complaint or concern of any person, whether employee, a stockholder or other interested person regarding the Company’s financial disclosure, internal accounting controls, questionable auditing or accounting matters or practices or other issues relating to the Company’s accounting or auditing, then the manager or investigator should immediately notify the Compliance Officer, who, in turn, shall notify the Chair of the Audit Committee, as applicable. If a suspected violation involves any director or executive officer or if the suspected violation concerns any fraud, whether or not material, involving management or other employees who have a significant role in the Company’s internal controls, any person who received such report should immediately report the alleged violation to the Compliance Officer, if appropriate, the Chief Executive Officer and/or Chief Financial Officer, and, in every such case, the Chair of the Audit Committee. The Compliance Officer or the Chair of the Audit Committee, as applicable, shall assess the situation and determine the appropriate course of action. At a point in the process consistent with the need not to compromise the investigation, a person who is suspected of a violation shall be apprised of the alleged violation and shall have an opportunity to provide a response to the investigator.</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Disciplinary Actions</w:t>
            </w:r>
            <w:r>
              <w:rPr/>
              <w:t>. Subject to the following sentence, the Compliance Officer, after consultation with the Legal Department, shall be responsible for implementing the appropriate disciplinary action in accordance with the Company’s policies and procedures for any employee who is found to have violated this Code. If a violation has been reported to the Audit Committee or another committee of the Board, that committee shall be responsible for determining appropriate disciplinary action. Any violation of applicable law or any deviation from the standards embodied in this Code will result in disciplinary action, up to and including termination of employment. Any employee engaged in the exercise of substantial discretionary authority, including any Senior Officer, who is found to have engaged in a violation of law or unethical conduct in connection with the performance of his or her duties for the Company, shall be removed from his or her position and not assigned to any other position involving the exercise of substantial discretionary authority. In addition to imposing discipline upon employees involved in non-compliant conduct, the Company also will impose discipline, as appropriate, upon an employee’s supervisor, if any, who directs or approves such employees’ improper actions, or is aware of those actions but does not act appropriately to correct them, and upon other individuals who fail to report known non-compliant conduct. In addition to imposing its own discipline, the Company will bring any violations of law to the attention of appropriate law enforcement personnel.</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Retention of Reports and Complaints</w:t>
            </w:r>
            <w:r>
              <w:rPr/>
              <w:t>. All reports and complaints made to or received by the Compliance Officer or the Chair of the Audit Committee shall be logged into a record maintained for this purpose by the Compliance Officer and this record of such report shall be retained for five (5) years.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Required Government Reporting</w:t>
            </w:r>
            <w:r>
              <w:rPr/>
              <w:t>. Whenever conduct occurs that requires a report to the government, the Compliance Officer shall be responsible for complying with such reporting requirements.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Corrective Actions</w:t>
            </w:r>
            <w:r>
              <w:rPr/>
              <w:t>. Subject to the following sentence, in the event of a violation of this Code, the manager and the Compliance Officer should assess the situation to determine whether the violation demonstrates a problem that requires remedial action as to Company policies and procedures. If a violation has been reported to the Audit Committee or another committee of the Board, that committee shall be responsible for determining appropriate remedial or corrective actions. Such corrective action may include providing revised public disclosure, retraining Company employees, modifying Company policies and procedures, improving monitoring of compliance under existing procedures and other action necessary to detect similar non-compliant conduct and prevent it from occurring in the future. Such corrective action shall be documented, as appropriate.</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57"/>
        <w:gridCol w:w="483"/>
        <w:gridCol w:w="9665"/>
      </w:tblGrid>
      <w:tr>
        <w:trPr/>
        <w:tc>
          <w:tcPr>
            <w:tcW w:w="5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caps/>
              </w:rPr>
            </w:pPr>
            <w:r>
              <w:rPr>
                <w:caps/>
              </w:rPr>
              <w:t>12.</w:t>
            </w:r>
          </w:p>
        </w:tc>
        <w:tc>
          <w:tcPr>
            <w:tcW w:w="9665" w:type="dxa"/>
            <w:tcBorders/>
            <w:vAlign w:val="center"/>
          </w:tcPr>
          <w:p>
            <w:pPr>
              <w:pStyle w:val="TableContents"/>
              <w:bidi w:val="0"/>
              <w:spacing w:before="0" w:after="283"/>
              <w:jc w:val="left"/>
              <w:rPr/>
            </w:pPr>
            <w:r>
              <w:rPr/>
              <w:t>Publication of this Code; Amendments to and Waivers of this Code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current version of this Code will be posted and maintained on the Company’s website. The Company’s Annual Report on Form 10-K shall disclose that the Code is maintained on the website and shall disclose that substantive amendments and waivers will also be posted on the Company’s website.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substantive amendment to or waiver of this Code (i.e., a material departure from the requirements of any provision) particularly applicable to or directed at executive officers or directors may be made only after approval by the Board of Directors, which may occur upon the recommendation of the Audit Committee, and will be disclosed within four (4) business days of such action on the Company’s website as well as via other means then required by the listing standards of the national securities exchange on which the Company’s securities are listed, or other applicable law. Such disclosure shall include the reasons for any waiver. The Company shall maintain disclosure relating to such amendment or waiver on its website for at least twelve (12) months and shall retain the disclosure relating to any such amendment or waiver for not less than five (5) years.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28003701ex16-1.htm"/>
      <w:bookmarkStart w:id="41" w:name="ksea028003701ex161"/>
      <w:bookmarkEnd w:id="40"/>
      <w:bookmarkEnd w:id="41"/>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former independent registered public accounting firm for CID Holdco, Inc.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Company’s disclosure set forth in Item 4.01 “Changes in Registrant’s Certifying Accountant” of the Company’s Current Report on Form 8-K dated January 20, 2026 (the “Current Report”), and are in agreement with the statements in the Current Report, insofar as they pertain to our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2" w:name="ea028003701ex21-1.htm"/>
      <w:bookmarkStart w:id="43" w:name="ksea028003701ex211"/>
      <w:bookmarkEnd w:id="42"/>
      <w:bookmarkEnd w:id="43"/>
      <w:r>
        <w:rPr>
          <w:b/>
        </w:rPr>
        <w:t>Exhibit 21.1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CID HoldCo, Inc.</w:t>
      </w:r>
    </w:p>
    <w:p>
      <w:pPr>
        <w:pStyle w:val="TextBody"/>
        <w:bidi w:val="0"/>
        <w:spacing w:before="0" w:after="0"/>
        <w:ind w:left="0" w:right="0" w:hanging="0"/>
        <w:jc w:val="center"/>
        <w:rPr>
          <w:caps w:val="false"/>
          <w:smallCaps w:val="false"/>
        </w:rPr>
      </w:pPr>
      <w:r>
        <w:rPr>
          <w:caps w:val="false"/>
          <w:smallCaps w:val="false"/>
        </w:rPr>
        <w:t> </w:t>
      </w:r>
    </w:p>
    <w:tbl>
      <w:tblPr>
        <w:tblW w:w="5440" w:type="dxa"/>
        <w:jc w:val="left"/>
        <w:tblInd w:w="0" w:type="dxa"/>
        <w:tblLayout w:type="fixed"/>
        <w:tblCellMar>
          <w:top w:w="0" w:type="dxa"/>
          <w:left w:w="0" w:type="dxa"/>
          <w:bottom w:w="28" w:type="dxa"/>
          <w:right w:w="0" w:type="dxa"/>
        </w:tblCellMar>
      </w:tblPr>
      <w:tblGrid>
        <w:gridCol w:w="4145"/>
        <w:gridCol w:w="60"/>
        <w:gridCol w:w="1235"/>
      </w:tblGrid>
      <w:tr>
        <w:trPr/>
        <w:tc>
          <w:tcPr>
            <w:tcW w:w="4145" w:type="dxa"/>
            <w:tcBorders>
              <w:bottom w:val="single" w:sz="12" w:space="0" w:color="000000"/>
            </w:tcBorders>
            <w:vAlign w:val="center"/>
          </w:tcPr>
          <w:p>
            <w:pPr>
              <w:pStyle w:val="TableContents"/>
              <w:bidi w:val="0"/>
              <w:spacing w:before="0" w:after="283"/>
              <w:jc w:val="left"/>
              <w:rPr>
                <w:b/>
              </w:rPr>
            </w:pPr>
            <w:r>
              <w:rPr>
                <w:b/>
              </w:rPr>
              <w:t>Subsidiary</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Jurisdiction</w:t>
            </w:r>
          </w:p>
        </w:tc>
      </w:tr>
      <w:tr>
        <w:trPr/>
        <w:tc>
          <w:tcPr>
            <w:tcW w:w="4145" w:type="dxa"/>
            <w:tcBorders/>
            <w:shd w:fill="CCEEFF" w:val="clear"/>
            <w:tcMar>
              <w:bottom w:w="0" w:type="dxa"/>
            </w:tcMar>
            <w:vAlign w:val="center"/>
          </w:tcPr>
          <w:p>
            <w:pPr>
              <w:pStyle w:val="TableContents"/>
              <w:bidi w:val="0"/>
              <w:spacing w:before="0" w:after="283"/>
              <w:jc w:val="left"/>
              <w:rPr/>
            </w:pPr>
            <w:r>
              <w:rPr/>
              <w:t>SEE ID,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Nevada</w:t>
            </w:r>
          </w:p>
        </w:tc>
      </w:tr>
      <w:tr>
        <w:trPr/>
        <w:tc>
          <w:tcPr>
            <w:tcW w:w="4145" w:type="dxa"/>
            <w:tcBorders/>
            <w:shd w:fill="FFFFFF" w:val="clear"/>
            <w:tcMar>
              <w:bottom w:w="0" w:type="dxa"/>
            </w:tcMar>
            <w:vAlign w:val="center"/>
          </w:tcPr>
          <w:p>
            <w:pPr>
              <w:pStyle w:val="TableContents"/>
              <w:bidi w:val="0"/>
              <w:spacing w:before="0" w:after="283"/>
              <w:jc w:val="left"/>
              <w:rPr/>
            </w:pPr>
            <w:r>
              <w:rPr/>
              <w:t>ShoulderUp Technology Acquisition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8003701ex23-1.htm"/>
      <w:bookmarkStart w:id="45" w:name="ksea028003701ex231"/>
      <w:bookmarkEnd w:id="44"/>
      <w:bookmarkEnd w:id="4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429625" cy="1647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8429625" cy="1647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(Nos. 333-290047 and 333-291897) on Form S-8 of CID Holdco, Inc. of our report dated June 25, 2025, which included an explanatory paragraph as to the entity's ability to continue as a going concern, with respect to the consolidated balance sheet of SEE ID, Inc. dba Dot Ai as of December 31, 2024, the related consolidated statements of operations, stockholders’ deficit, and cash flows for the year ended December 31, 2024, and the related notes, before the effects of the retrospective adjustments and revisions described in Notes 2, 3, 4 and 11, which have been subjected to audit procedures by the successor auditor whose report appears in the year ended December 31, 2025 annual report on Form 10-K of 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w:t>
        <w:br/>
        <w:t>March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52475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7524750" cy="476250"/>
                    </a:xfrm>
                    <a:prstGeom prst="rect">
                      <a:avLst/>
                    </a:prstGeom>
                  </pic:spPr>
                </pic:pic>
              </a:graphicData>
            </a:graphic>
          </wp:inline>
        </w:drawing>
      </w:r>
    </w:p>
    <w:p>
      <w:pPr>
        <w:pStyle w:val="TextBody"/>
        <w:bidi w:val="0"/>
        <w:jc w:val="right"/>
        <w:rPr>
          <w:b/>
        </w:rPr>
      </w:pPr>
      <w:bookmarkStart w:id="46" w:name="ea028003701ex23-2.htm"/>
      <w:bookmarkStart w:id="47" w:name="ksea028003701ex232"/>
      <w:bookmarkEnd w:id="46"/>
      <w:bookmarkEnd w:id="47"/>
      <w:r>
        <w:rPr>
          <w:b/>
        </w:rPr>
        <w:t>Exhibit 23.2</w:t>
      </w:r>
      <w:r>
        <w:br w:type="page"/>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REGISTERED INDEPENDENT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(File No. 333-291897 and 333-290047) of CID Holdco, Inc. (the “Company”) of our report dated March 11, 2026, which included an explanatory paragraph as to the Company’s ability to continue as a going concern, with respect to our audit of the consolidated financial statements of CID Holdco, Inc. as of December 31, 2025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 Riggs &amp; Ingram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Beach Gardens, Florida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11, 2026</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right"/>
        <w:rPr>
          <w:b/>
        </w:rPr>
      </w:pPr>
      <w:bookmarkStart w:id="48" w:name="ea028003701ex31-1.htm"/>
      <w:bookmarkStart w:id="49" w:name="ksea028003701ex311"/>
      <w:bookmarkEnd w:id="48"/>
      <w:bookmarkEnd w:id="49"/>
      <w:r>
        <w:rPr>
          <w:b/>
        </w:rPr>
        <w:t>E</w:t>
      </w:r>
      <w:r>
        <w:rPr>
          <w:b/>
          <w:caps w:val="false"/>
          <w:smallCaps w:val="false"/>
        </w:rPr>
        <w:t>XHIBIT</w:t>
      </w:r>
      <w:r>
        <w:rPr>
          <w:b/>
        </w:rPr>
        <w:t xml:space="preserve">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Edmund Nabrotzky, certify that:</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left"/>
              <w:rPr/>
            </w:pPr>
            <w:r>
              <w:rPr/>
              <w:t>I have reviewed this Annual Report on Form 10-K for the year ended December 31, 2025 of CID Holdco, Inc.;</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20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215" w:type="dxa"/>
            <w:tcBorders/>
            <w:vAlign w:val="center"/>
          </w:tcPr>
          <w:p>
            <w:pPr>
              <w:pStyle w:val="TableContents"/>
              <w:bidi w:val="0"/>
              <w:spacing w:before="0" w:after="283"/>
              <w:jc w:val="left"/>
              <w:rPr/>
            </w:pPr>
            <w:r>
              <w:rPr/>
              <w:t>[Paragraph intentionally omitted in accordance with SEC Release Nos. 34-47986 and 34-54942];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36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20"/>
        <w:gridCol w:w="320"/>
        <w:gridCol w:w="2360"/>
      </w:tblGrid>
      <w:tr>
        <w:trPr/>
        <w:tc>
          <w:tcPr>
            <w:tcW w:w="2120" w:type="dxa"/>
            <w:tcBorders/>
            <w:vAlign w:val="center"/>
          </w:tcPr>
          <w:p>
            <w:pPr>
              <w:pStyle w:val="TableContents"/>
              <w:bidi w:val="0"/>
              <w:spacing w:before="0" w:after="283"/>
              <w:jc w:val="left"/>
              <w:rPr/>
            </w:pPr>
            <w:r>
              <w:rPr/>
              <w:t>Date: March 11, 2026</w:t>
            </w:r>
          </w:p>
        </w:tc>
        <w:tc>
          <w:tcPr>
            <w:tcW w:w="320" w:type="dxa"/>
            <w:tcBorders/>
            <w:vAlign w:val="center"/>
          </w:tcPr>
          <w:p>
            <w:pPr>
              <w:pStyle w:val="TableContents"/>
              <w:bidi w:val="0"/>
              <w:spacing w:before="0" w:after="283"/>
              <w:jc w:val="left"/>
              <w:rPr>
                <w:sz w:val="20"/>
              </w:rPr>
            </w:pPr>
            <w:r>
              <w:rPr>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Edmund Nabrotzky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Edmund Nabrotzky</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8003701ex31-2.htm"/>
      <w:bookmarkStart w:id="51" w:name="ksea028003701ex312"/>
      <w:bookmarkEnd w:id="50"/>
      <w:bookmarkEnd w:id="51"/>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Charles Maddox, certify that:</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left"/>
              <w:rPr/>
            </w:pPr>
            <w:r>
              <w:rPr/>
              <w:t>I have reviewed this Annual Report on Form 10-K for the year ended December 31, 2025 of CID Holdco, Inc.;</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36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20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215" w:type="dxa"/>
            <w:tcBorders/>
            <w:vAlign w:val="center"/>
          </w:tcPr>
          <w:p>
            <w:pPr>
              <w:pStyle w:val="TableContents"/>
              <w:bidi w:val="0"/>
              <w:spacing w:before="0" w:after="283"/>
              <w:jc w:val="left"/>
              <w:rPr/>
            </w:pPr>
            <w:r>
              <w:rPr/>
              <w:t>[Paragraph intentionally omitted in accordance with SEC Release Nos. 34-47986 and 34-54942];</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36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2120"/>
        <w:gridCol w:w="320"/>
        <w:gridCol w:w="2300"/>
      </w:tblGrid>
      <w:tr>
        <w:trPr/>
        <w:tc>
          <w:tcPr>
            <w:tcW w:w="2120" w:type="dxa"/>
            <w:tcBorders/>
            <w:vAlign w:val="center"/>
          </w:tcPr>
          <w:p>
            <w:pPr>
              <w:pStyle w:val="TableContents"/>
              <w:bidi w:val="0"/>
              <w:spacing w:before="0" w:after="283"/>
              <w:jc w:val="left"/>
              <w:rPr/>
            </w:pPr>
            <w:r>
              <w:rPr/>
              <w:t>Date: March 11, 2026</w:t>
            </w:r>
          </w:p>
        </w:tc>
        <w:tc>
          <w:tcPr>
            <w:tcW w:w="320" w:type="dxa"/>
            <w:tcBorders/>
            <w:vAlign w:val="center"/>
          </w:tcPr>
          <w:p>
            <w:pPr>
              <w:pStyle w:val="TableContents"/>
              <w:bidi w:val="0"/>
              <w:spacing w:before="0" w:after="283"/>
              <w:jc w:val="left"/>
              <w:rPr>
                <w:sz w:val="20"/>
              </w:rPr>
            </w:pPr>
            <w:r>
              <w:rPr>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Charles Maddox</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Charles Maddox</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Financial Officer</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2" w:name="ea028003701ex32-1.htm"/>
      <w:bookmarkStart w:id="53" w:name="ksea028003701ex321"/>
      <w:bookmarkEnd w:id="52"/>
      <w:bookmarkEnd w:id="53"/>
      <w:r>
        <w:rPr>
          <w:b/>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CID HoldCo,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10-K for the year ended December 31, 2025,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Edmund Nabrotzky,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720" w:right="148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11, 2026</w:t>
      </w:r>
    </w:p>
    <w:p>
      <w:pPr>
        <w:pStyle w:val="TextBody"/>
        <w:bidi w:val="0"/>
        <w:spacing w:before="0" w:after="0"/>
        <w:ind w:left="720" w:right="148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75"/>
        <w:gridCol w:w="3500"/>
      </w:tblGrid>
      <w:tr>
        <w:trPr/>
        <w:tc>
          <w:tcPr>
            <w:tcW w:w="75" w:type="dxa"/>
            <w:tcBorders/>
            <w:vAlign w:val="center"/>
          </w:tcPr>
          <w:p>
            <w:pPr>
              <w:pStyle w:val="TableContents"/>
              <w:bidi w:val="0"/>
              <w:spacing w:before="0" w:after="283"/>
              <w:jc w:val="left"/>
              <w:rPr/>
            </w:pPr>
            <w:r>
              <w:rPr/>
              <w:t> </w:t>
            </w:r>
          </w:p>
        </w:tc>
        <w:tc>
          <w:tcPr>
            <w:tcW w:w="35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sz w:val="20"/>
              </w:rPr>
            </w:pPr>
            <w:r>
              <w:rPr>
                <w:sz w:val="20"/>
              </w:rPr>
              <w:t>Name: Edmund Nabrotzky</w:t>
            </w:r>
          </w:p>
        </w:tc>
      </w:tr>
      <w:tr>
        <w:trPr/>
        <w:tc>
          <w:tcPr>
            <w:tcW w:w="7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sz w:val="20"/>
              </w:rPr>
            </w:pPr>
            <w:r>
              <w:rPr>
                <w:sz w:val="20"/>
              </w:rPr>
              <w:t>Title: Chief Executive Officer and Director</w:t>
            </w:r>
          </w:p>
        </w:tc>
      </w:tr>
      <w:tr>
        <w:trPr/>
        <w:tc>
          <w:tcPr>
            <w:tcW w:w="7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4" w:name="ea028003701ex32-2.htm"/>
      <w:bookmarkStart w:id="55" w:name="ksea028003701ex322"/>
      <w:bookmarkEnd w:id="54"/>
      <w:bookmarkEnd w:id="55"/>
      <w:r>
        <w:rPr>
          <w:b/>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CID HoldCo,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10-K for the year ended December 31, 2025,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Charles Maddox,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11, 2026</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bottom w:val="single" w:sz="12" w:space="0" w:color="000000"/>
            </w:tcBorders>
            <w:tcMar>
              <w:bottom w:w="28" w:type="dxa"/>
            </w:tcMar>
            <w:vAlign w:val="center"/>
          </w:tcPr>
          <w:p>
            <w:pPr>
              <w:pStyle w:val="TableContents"/>
              <w:bidi w:val="0"/>
              <w:spacing w:before="0" w:after="283"/>
              <w:jc w:val="left"/>
              <w:rPr/>
            </w:pPr>
            <w:r>
              <w:rPr/>
              <w:t>/s/ Charles Maddox</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Name: Charles Maddox</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Title: Chief Financial Officer</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8003701ex97-1.htm"/>
      <w:bookmarkStart w:id="57" w:name="ksea028003701ex971"/>
      <w:bookmarkEnd w:id="56"/>
      <w:bookmarkEnd w:id="57"/>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FOR RECOVERY OF INCENTIVE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as of June 18, 2025 </w:t>
        <w:b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CID HoldCo,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determines it must prepare a restatement, the Company will seek to recover the amount of erroneously awarded incentive compensation received by a covered officer, as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term (i) “restatement” means an accounting restatement due to the material noncompliance of the Company with any financial reporting requirement under the U.S. federal securities laws, including any required accounting restatement to correct an error in previously issued financial statements that would result in a material misstatement if the error were corrected in the current period or left uncorrected in the current period (i.e., a “little r” restatement); (ii) “incentive compensation” means any (a) compensation based in whole or in part upon attainment of a financial reporting measure, or (b) any profits realized from the sale of securities of the issuer; (iii) “financial reporting measure” means any measure that is determined and presented in accordance with, or derived wholly or in part from, the accounting principles used in preparing the Company’s financial statements, as well as stock price and total shareholder return; (iv) “erroneously awarded” means the amount of incentive compensation during the three completed fiscal years immediately preceding the date on which the Company was required to prepare the restatement, to the extent such amount exceeds the amount that otherwise would have been received had the amount been determined based on the restatement; and (v) the term “covered officer” means a current or former “officer” of the Company as defined in Rule 16a-1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(the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of the Board of Directors shall have full and final authority to make all determinations under this policy, including as to the amount and form of recovery. The Committee must seek to recover from a covered officer all erroneously awarded incentive compensation unless the direct expense paid to a third party to assist in enforcing this policy would exceed the recoverable amount, or applicable listing rules otherwise do not require recovery. When the amount is not subject to mathematical recalculation directly from the information in the restatement, the Committee may determine a reasonable estimate of the effect of a restatement on a financial reporting measure. The Committee may determine that the form of recovery is to offset the recovery amount against other compensation (including through the cancellation of equity awards). In addition, the Committee may, to the extent permitted by law, take other remedial and recovery action, as determined by the Committee. The Committee may cause the Company to take such action as it deems necessary or appropriate to implement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comply with Section 10D of the Exchange Act, Rule 10D-1 thereunder, and the applicable rules of any national securities exchange on which the Company’s securities are listed, and this policy will be interpreted and administered consistently with that intent.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3770/000121390025057972/ea024660701ex3-1_cidhold.htm" TargetMode="External"/><Relationship Id="rId3" Type="http://schemas.openxmlformats.org/officeDocument/2006/relationships/hyperlink" Target="https://www.sec.gov/Archives/edgar/data/2033770/000121390025057972/ea024660701ex3-1_cidhold.htm" TargetMode="External"/><Relationship Id="rId4" Type="http://schemas.openxmlformats.org/officeDocument/2006/relationships/hyperlink" Target="https://www.sec.gov/Archives/edgar/data/2033770/000121390025057972/ea024660701ex3-2_cidhold.htm" TargetMode="External"/><Relationship Id="rId5" Type="http://schemas.openxmlformats.org/officeDocument/2006/relationships/hyperlink" Target="https://www.sec.gov/Archives/edgar/data/2033770/000121390025057972/ea024660701ex3-2_cidhold.htm" TargetMode="External"/><Relationship Id="rId6" Type="http://schemas.openxmlformats.org/officeDocument/2006/relationships/hyperlink" Target="https://www.sec.gov/Archives/edgar/data/2033770/000121390024094562/ea020805905ex4-5_cidhold.htm" TargetMode="External"/><Relationship Id="rId7" Type="http://schemas.openxmlformats.org/officeDocument/2006/relationships/hyperlink" Target="https://www.sec.gov/Archives/edgar/data/2033770/000121390024094562/ea020805905ex4-6_cidhold.htm" TargetMode="External"/><Relationship Id="rId8" Type="http://schemas.openxmlformats.org/officeDocument/2006/relationships/hyperlink" Target="http://www.sec.gov/Archives/edgar/data/1885461/000121390021061326/ea151223ex4-1_shoulderup.htm" TargetMode="External"/><Relationship Id="rId9" Type="http://schemas.openxmlformats.org/officeDocument/2006/relationships/hyperlink" Target="https://www.sec.gov/Archives/edgar/data/2033770/000121390025057972/ea024660701ex4-4_cidhold.htm" TargetMode="External"/><Relationship Id="rId10" Type="http://schemas.openxmlformats.org/officeDocument/2006/relationships/hyperlink" Target="https://www.sec.gov/Archives/edgar/data/2033770/000121390026024757/ea028040301ex4-1.htm" TargetMode="External"/><Relationship Id="rId11" Type="http://schemas.openxmlformats.org/officeDocument/2006/relationships/hyperlink" Target="http://www.sec.gov/Archives/edgar/data/2033770/000121390025057972/ea024660701ex10-8_cidhold.htm" TargetMode="External"/><Relationship Id="rId12" Type="http://schemas.openxmlformats.org/officeDocument/2006/relationships/hyperlink" Target="http://www.sec.gov/Archives/edgar/data/2033770/000121390025057972/ea024660701ex10-10_cidhold.htm" TargetMode="External"/><Relationship Id="rId13" Type="http://schemas.openxmlformats.org/officeDocument/2006/relationships/hyperlink" Target="http://www.sec.gov/Archives/edgar/data/2033770/000121390025057972/ea024660701ex10-11_cidhold.htm" TargetMode="External"/><Relationship Id="rId14" Type="http://schemas.openxmlformats.org/officeDocument/2006/relationships/hyperlink" Target="http://www.sec.gov/Archives/edgar/data/2033770/000121390025057972/ea024660701ex10-12_cidhold.htm" TargetMode="External"/><Relationship Id="rId15" Type="http://schemas.openxmlformats.org/officeDocument/2006/relationships/hyperlink" Target="https://www.sec.gov/Archives/edgar/data/2033770/000121390026024757/ea028040301ex10-1.htm" TargetMode="External"/><Relationship Id="rId16" Type="http://schemas.openxmlformats.org/officeDocument/2006/relationships/hyperlink" Target="http://www.sec.gov/Archives/edgar/data/2033770/000121390026024757/ea028040301ex10-2.htm" TargetMode="External"/><Relationship Id="rId17" Type="http://schemas.openxmlformats.org/officeDocument/2006/relationships/hyperlink" Target="https://www.sec.gov/Archives/edgar/data/2033770/000121390025120713/ea026926301ex10-3_cidhold.htm" TargetMode="External"/><Relationship Id="rId18" Type="http://schemas.openxmlformats.org/officeDocument/2006/relationships/hyperlink" Target="https://www.sec.gov/Archives/edgar/data/2033770/000121390025084585/ea025454801ex99-1_cidholdco.htm" TargetMode="External"/><Relationship Id="rId19" Type="http://schemas.openxmlformats.org/officeDocument/2006/relationships/hyperlink" Target="http://www.sec.gov/Archives/edgar/data/2033770/000121390025117350/ea026691501ex99-1_cidholdco.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90793</Words>
  <Characters>503737</Characters>
  <CharactersWithSpaces>595650</CharactersWithSpaces>
  <Paragraphs>9079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