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501-10q_cidhold.htm"/>
      <w:bookmarkStart w:id="1" w:name="ksea030650110q_cidhol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quarterly period ended: June 30,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Commission file number: </w:t>
      </w:r>
      <w:r>
        <w:rPr>
          <w:rFonts w:ascii="Times New Roman;Times;Serif" w:hAnsi="Times New Roman;Times;Serif"/>
          <w:b/>
          <w:i w:val="false"/>
          <w:caps w:val="false"/>
          <w:smallCaps w:val="false"/>
          <w:sz w:val="20"/>
          <w:u w:val="single"/>
        </w:rPr>
        <w:t>001-42711</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CID HOLDCO,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815" w:type="dxa"/>
        <w:jc w:val="left"/>
        <w:tblInd w:w="0" w:type="dxa"/>
        <w:tblLayout w:type="fixed"/>
        <w:tblCellMar>
          <w:top w:w="0" w:type="dxa"/>
          <w:left w:w="0" w:type="dxa"/>
          <w:bottom w:w="28" w:type="dxa"/>
          <w:right w:w="0" w:type="dxa"/>
        </w:tblCellMar>
      </w:tblPr>
      <w:tblGrid>
        <w:gridCol w:w="4220"/>
        <w:gridCol w:w="60"/>
        <w:gridCol w:w="1535"/>
      </w:tblGrid>
      <w:tr>
        <w:trPr/>
        <w:tc>
          <w:tcPr>
            <w:tcW w:w="4220"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r>
              <w:rPr>
                <w:b/>
                <w:sz w:val="20"/>
              </w:rPr>
              <w:t>99-2578850</w:t>
            </w:r>
          </w:p>
        </w:tc>
      </w:tr>
      <w:tr>
        <w:trPr/>
        <w:tc>
          <w:tcPr>
            <w:tcW w:w="4220" w:type="dxa"/>
            <w:tcBorders/>
            <w:tcMar>
              <w:bottom w:w="0" w:type="dxa"/>
            </w:tcMar>
            <w:vAlign w:val="center"/>
          </w:tcPr>
          <w:p>
            <w:pPr>
              <w:pStyle w:val="TableContents"/>
              <w:bidi w:val="0"/>
              <w:spacing w:before="0" w:after="283"/>
              <w:jc w:val="center"/>
              <w:rPr>
                <w:sz w:val="20"/>
              </w:rPr>
            </w:pPr>
            <w:r>
              <w:rPr>
                <w:sz w:val="20"/>
              </w:rPr>
              <w:t>(State of other jurisdiction of</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r>
          </w:p>
        </w:tc>
      </w:tr>
      <w:tr>
        <w:trPr/>
        <w:tc>
          <w:tcPr>
            <w:tcW w:w="4220" w:type="dxa"/>
            <w:tcBorders/>
            <w:tcMar>
              <w:bottom w:w="0" w:type="dxa"/>
            </w:tcMar>
            <w:vAlign w:val="center"/>
          </w:tcPr>
          <w:p>
            <w:pPr>
              <w:pStyle w:val="TableContents"/>
              <w:bidi w:val="0"/>
              <w:spacing w:before="0" w:after="283"/>
              <w:jc w:val="center"/>
              <w:rPr>
                <w:sz w:val="20"/>
              </w:rPr>
            </w:pPr>
            <w:r>
              <w:rPr>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Identification No.)</w:t>
            </w:r>
          </w:p>
        </w:tc>
      </w:tr>
      <w:tr>
        <w:trPr/>
        <w:tc>
          <w:tcPr>
            <w:tcW w:w="422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p>
        </w:tc>
      </w:tr>
      <w:tr>
        <w:trPr/>
        <w:tc>
          <w:tcPr>
            <w:tcW w:w="4220" w:type="dxa"/>
            <w:tcBorders>
              <w:bottom w:val="single" w:sz="12" w:space="0" w:color="000000"/>
            </w:tcBorders>
            <w:vAlign w:val="center"/>
          </w:tcPr>
          <w:p>
            <w:pPr>
              <w:pStyle w:val="TableContents"/>
              <w:bidi w:val="0"/>
              <w:spacing w:before="0" w:after="283"/>
              <w:jc w:val="center"/>
              <w:rPr>
                <w:b/>
                <w:sz w:val="20"/>
              </w:rPr>
            </w:pPr>
            <w:r>
              <w:rPr>
                <w:b/>
                <w:sz w:val="20"/>
              </w:rPr>
              <w:t>5661 S Cameron St, Suite 100, Las Vegas, Nevada</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r>
              <w:rPr>
                <w:b/>
                <w:sz w:val="20"/>
              </w:rPr>
              <w:t>89118</w:t>
            </w:r>
          </w:p>
        </w:tc>
      </w:tr>
      <w:tr>
        <w:trPr/>
        <w:tc>
          <w:tcPr>
            <w:tcW w:w="422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(303) 332 4122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872"/>
        <w:gridCol w:w="60"/>
        <w:gridCol w:w="1345"/>
        <w:gridCol w:w="60"/>
        <w:gridCol w:w="2868"/>
      </w:tblGrid>
      <w:tr>
        <w:trPr/>
        <w:tc>
          <w:tcPr>
            <w:tcW w:w="5872"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45"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868"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5872" w:type="dxa"/>
            <w:tcBorders/>
            <w:shd w:fill="CCEEFF" w:val="clear"/>
            <w:tcMar>
              <w:bottom w:w="0" w:type="dxa"/>
            </w:tcMar>
            <w:vAlign w:val="center"/>
          </w:tcPr>
          <w:p>
            <w:pPr>
              <w:pStyle w:val="TableContents"/>
              <w:bidi w:val="0"/>
              <w:spacing w:before="0" w:after="283"/>
              <w:jc w:val="center"/>
              <w:rPr>
                <w:sz w:val="20"/>
              </w:rPr>
            </w:pPr>
            <w:r>
              <w:rPr>
                <w:sz w:val="20"/>
              </w:rPr>
              <w:t>Common Stock, par value of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center"/>
              <w:rPr>
                <w:sz w:val="20"/>
              </w:rPr>
            </w:pPr>
            <w:r>
              <w:rPr>
                <w:sz w:val="20"/>
              </w:rPr>
              <w:t>DAIC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868" w:type="dxa"/>
            <w:tcBorders/>
            <w:shd w:fill="CCEEFF" w:val="clear"/>
            <w:tcMar>
              <w:bottom w:w="0" w:type="dxa"/>
            </w:tcMar>
            <w:vAlign w:val="center"/>
          </w:tcPr>
          <w:p>
            <w:pPr>
              <w:pStyle w:val="TableContents"/>
              <w:bidi w:val="0"/>
              <w:spacing w:before="0" w:after="283"/>
              <w:jc w:val="center"/>
              <w:rPr>
                <w:sz w:val="20"/>
              </w:rPr>
            </w:pPr>
            <w:r>
              <w:rPr>
                <w:sz w:val="20"/>
              </w:rPr>
              <w:t>The Nasdaq Stock Market LLC</w:t>
            </w:r>
          </w:p>
        </w:tc>
      </w:tr>
      <w:tr>
        <w:trPr/>
        <w:tc>
          <w:tcPr>
            <w:tcW w:w="5872" w:type="dxa"/>
            <w:tcBorders/>
            <w:shd w:fill="FFFFFF" w:val="clear"/>
            <w:tcMar>
              <w:bottom w:w="0" w:type="dxa"/>
            </w:tcMar>
            <w:vAlign w:val="center"/>
          </w:tcPr>
          <w:p>
            <w:pPr>
              <w:pStyle w:val="TableContents"/>
              <w:bidi w:val="0"/>
              <w:spacing w:before="0" w:after="283"/>
              <w:jc w:val="center"/>
              <w:rPr/>
            </w:pPr>
            <w:r>
              <w:rPr>
                <w:sz w:val="20"/>
              </w:rPr>
              <w:t>Warrants, each exercisable for one share of Common Stock at an exercise price of $287.5</w:t>
            </w:r>
            <w:r>
              <w:rPr/>
              <w:t xml:space="preserve"> </w:t>
            </w:r>
            <w:r>
              <w:rPr>
                <w:sz w:val="20"/>
              </w:rPr>
              <w:t>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5" w:type="dxa"/>
            <w:tcBorders/>
            <w:shd w:fill="FFFFFF" w:val="clear"/>
            <w:tcMar>
              <w:bottom w:w="0" w:type="dxa"/>
            </w:tcMar>
            <w:vAlign w:val="center"/>
          </w:tcPr>
          <w:p>
            <w:pPr>
              <w:pStyle w:val="TableContents"/>
              <w:bidi w:val="0"/>
              <w:spacing w:before="0" w:after="283"/>
              <w:jc w:val="center"/>
              <w:rPr>
                <w:sz w:val="20"/>
              </w:rPr>
            </w:pPr>
            <w:r>
              <w:rPr>
                <w:sz w:val="20"/>
              </w:rPr>
              <w:t>DAICW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868" w:type="dxa"/>
            <w:tcBorders/>
            <w:shd w:fill="FFFFFF" w:val="clear"/>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4730" w:type="dxa"/>
        <w:jc w:val="left"/>
        <w:tblInd w:w="0" w:type="dxa"/>
        <w:tblLayout w:type="fixed"/>
        <w:tblCellMar>
          <w:top w:w="0" w:type="dxa"/>
          <w:left w:w="0" w:type="dxa"/>
          <w:bottom w:w="0" w:type="dxa"/>
          <w:right w:w="0" w:type="dxa"/>
        </w:tblCellMar>
      </w:tblPr>
      <w:tblGrid>
        <w:gridCol w:w="1895"/>
        <w:gridCol w:w="230"/>
        <w:gridCol w:w="60"/>
        <w:gridCol w:w="2300"/>
        <w:gridCol w:w="245"/>
      </w:tblGrid>
      <w:tr>
        <w:trPr/>
        <w:tc>
          <w:tcPr>
            <w:tcW w:w="1895" w:type="dxa"/>
            <w:tcBorders/>
            <w:vAlign w:val="center"/>
          </w:tcPr>
          <w:p>
            <w:pPr>
              <w:pStyle w:val="TableContents"/>
              <w:bidi w:val="0"/>
              <w:spacing w:before="0" w:after="283"/>
              <w:jc w:val="left"/>
              <w:rPr/>
            </w:pPr>
            <w:r>
              <w:rPr>
                <w:sz w:val="20"/>
              </w:rPr>
              <w:t>Large accelerated filer</w:t>
            </w:r>
            <w:r>
              <w:rPr/>
              <w:t> </w:t>
            </w:r>
          </w:p>
        </w:tc>
        <w:tc>
          <w:tcPr>
            <w:tcW w:w="2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right"/>
              <w:rPr/>
            </w:pPr>
            <w:r>
              <w:rPr/>
              <w:t>☐</w:t>
            </w:r>
          </w:p>
        </w:tc>
      </w:tr>
      <w:tr>
        <w:trPr/>
        <w:tc>
          <w:tcPr>
            <w:tcW w:w="1895" w:type="dxa"/>
            <w:tcBorders/>
            <w:vAlign w:val="center"/>
          </w:tcPr>
          <w:p>
            <w:pPr>
              <w:pStyle w:val="TableContents"/>
              <w:bidi w:val="0"/>
              <w:spacing w:before="0" w:after="283"/>
              <w:jc w:val="left"/>
              <w:rPr/>
            </w:pPr>
            <w:r>
              <w:rPr>
                <w:sz w:val="20"/>
              </w:rPr>
              <w:t>Non-accelerated filer</w:t>
            </w:r>
            <w:r>
              <w:rPr/>
              <w:t> </w:t>
            </w:r>
          </w:p>
        </w:tc>
        <w:tc>
          <w:tcPr>
            <w:tcW w:w="2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right"/>
              <w:rPr/>
            </w:pPr>
            <w:r>
              <w:rPr/>
              <w:t>☒</w:t>
            </w:r>
          </w:p>
        </w:tc>
      </w:tr>
      <w:tr>
        <w:trPr/>
        <w:tc>
          <w:tcPr>
            <w:tcW w:w="1895" w:type="dxa"/>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righ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Act).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of the common stock of the registrant issued and outstanding as of September 24, 2026 was 2,337,767 shares of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 FOR THE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9365"/>
        <w:gridCol w:w="60"/>
        <w:gridCol w:w="275"/>
      </w:tblGrid>
      <w:tr>
        <w:trPr/>
        <w:tc>
          <w:tcPr>
            <w:tcW w:w="9365" w:type="dxa"/>
            <w:tcBorders/>
            <w:shd w:fill="CCEEFF" w:val="clear"/>
            <w:vAlign w:val="center"/>
          </w:tcPr>
          <w:p>
            <w:pPr>
              <w:pStyle w:val="TableContents"/>
              <w:bidi w:val="0"/>
              <w:spacing w:before="0" w:after="283"/>
              <w:ind w:left="0" w:right="0" w:hanging="180"/>
              <w:jc w:val="left"/>
              <w:rPr/>
            </w:pPr>
            <w:hyperlink w:anchor="a_001">
              <w:r>
                <w:rPr>
                  <w:rStyle w:val="InternetLink"/>
                </w:rPr>
                <w:t>PART I - FINANCIAL INFORMATION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1</w:t>
            </w:r>
          </w:p>
        </w:tc>
      </w:tr>
      <w:tr>
        <w:trPr/>
        <w:tc>
          <w:tcPr>
            <w:tcW w:w="9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 </w:t>
            </w:r>
          </w:p>
        </w:tc>
      </w:tr>
      <w:tr>
        <w:trPr/>
        <w:tc>
          <w:tcPr>
            <w:tcW w:w="9365" w:type="dxa"/>
            <w:tcBorders/>
            <w:shd w:fill="CCEEFF" w:val="clear"/>
            <w:vAlign w:val="center"/>
          </w:tcPr>
          <w:p>
            <w:pPr>
              <w:pStyle w:val="TableContents"/>
              <w:bidi w:val="0"/>
              <w:spacing w:before="0" w:after="283"/>
              <w:jc w:val="left"/>
              <w:rPr/>
            </w:pPr>
            <w:hyperlink w:anchor="a_002">
              <w:r>
                <w:rPr>
                  <w:rStyle w:val="InternetLink"/>
                </w:rPr>
                <w:t>Item 1. - Financial Statements (unaudited)</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1</w:t>
            </w:r>
          </w:p>
        </w:tc>
      </w:tr>
      <w:tr>
        <w:trPr/>
        <w:tc>
          <w:tcPr>
            <w:tcW w:w="9365" w:type="dxa"/>
            <w:tcBorders/>
            <w:shd w:fill="FFFFFF" w:val="clear"/>
            <w:vAlign w:val="center"/>
          </w:tcPr>
          <w:p>
            <w:pPr>
              <w:pStyle w:val="TableContents"/>
              <w:bidi w:val="0"/>
              <w:spacing w:before="0" w:after="283"/>
              <w:jc w:val="left"/>
              <w:rPr/>
            </w:pPr>
            <w:hyperlink w:anchor="a_003">
              <w:r>
                <w:rPr>
                  <w:rStyle w:val="InternetLink"/>
                </w:rPr>
                <w:t>Condensed Consolidated Balance Sheets (unaudited)</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1</w:t>
            </w:r>
          </w:p>
        </w:tc>
      </w:tr>
      <w:tr>
        <w:trPr/>
        <w:tc>
          <w:tcPr>
            <w:tcW w:w="9365" w:type="dxa"/>
            <w:tcBorders/>
            <w:shd w:fill="CCEEFF" w:val="clear"/>
            <w:vAlign w:val="center"/>
          </w:tcPr>
          <w:p>
            <w:pPr>
              <w:pStyle w:val="TableContents"/>
              <w:bidi w:val="0"/>
              <w:spacing w:before="0" w:after="283"/>
              <w:jc w:val="left"/>
              <w:rPr/>
            </w:pPr>
            <w:hyperlink w:anchor="a_004">
              <w:r>
                <w:rPr>
                  <w:rStyle w:val="InternetLink"/>
                </w:rPr>
                <w:t>Condensed Consolidated Statements of Operations (unaudited)</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2</w:t>
            </w:r>
          </w:p>
        </w:tc>
      </w:tr>
      <w:tr>
        <w:trPr/>
        <w:tc>
          <w:tcPr>
            <w:tcW w:w="9365" w:type="dxa"/>
            <w:tcBorders/>
            <w:shd w:fill="FFFFFF" w:val="clear"/>
            <w:vAlign w:val="center"/>
          </w:tcPr>
          <w:p>
            <w:pPr>
              <w:pStyle w:val="TableContents"/>
              <w:bidi w:val="0"/>
              <w:spacing w:before="0" w:after="283"/>
              <w:jc w:val="left"/>
              <w:rPr/>
            </w:pPr>
            <w:hyperlink w:anchor="a_005">
              <w:r>
                <w:rPr>
                  <w:rStyle w:val="InternetLink"/>
                </w:rPr>
                <w:t>Condensed Consolidated Statements of Shareholders’ Equity (Deficit) (unaudited) </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3</w:t>
            </w:r>
          </w:p>
        </w:tc>
      </w:tr>
      <w:tr>
        <w:trPr/>
        <w:tc>
          <w:tcPr>
            <w:tcW w:w="9365" w:type="dxa"/>
            <w:tcBorders/>
            <w:shd w:fill="CCEEFF" w:val="clear"/>
            <w:vAlign w:val="center"/>
          </w:tcPr>
          <w:p>
            <w:pPr>
              <w:pStyle w:val="TableContents"/>
              <w:bidi w:val="0"/>
              <w:spacing w:before="0" w:after="283"/>
              <w:jc w:val="left"/>
              <w:rPr/>
            </w:pPr>
            <w:hyperlink w:anchor="a_006">
              <w:r>
                <w:rPr>
                  <w:rStyle w:val="InternetLink"/>
                </w:rPr>
                <w:t>Condensed Consolidated Statements of Cash Flows (unaudited)</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4</w:t>
            </w:r>
          </w:p>
        </w:tc>
      </w:tr>
      <w:tr>
        <w:trPr/>
        <w:tc>
          <w:tcPr>
            <w:tcW w:w="9365" w:type="dxa"/>
            <w:tcBorders/>
            <w:shd w:fill="FFFFFF" w:val="clear"/>
            <w:vAlign w:val="center"/>
          </w:tcPr>
          <w:p>
            <w:pPr>
              <w:pStyle w:val="TableContents"/>
              <w:bidi w:val="0"/>
              <w:spacing w:before="0" w:after="283"/>
              <w:jc w:val="left"/>
              <w:rPr/>
            </w:pPr>
            <w:hyperlink w:anchor="a_007">
              <w:r>
                <w:rPr>
                  <w:rStyle w:val="InternetLink"/>
                </w:rPr>
                <w:t>Notes to Condensed Consolidated Financial Statements (unaudited)</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5</w:t>
            </w:r>
          </w:p>
        </w:tc>
      </w:tr>
      <w:tr>
        <w:trPr/>
        <w:tc>
          <w:tcPr>
            <w:tcW w:w="9365" w:type="dxa"/>
            <w:tcBorders/>
            <w:shd w:fill="CCEEFF" w:val="clear"/>
            <w:vAlign w:val="center"/>
          </w:tcPr>
          <w:p>
            <w:pPr>
              <w:pStyle w:val="TableContents"/>
              <w:bidi w:val="0"/>
              <w:spacing w:before="0" w:after="283"/>
              <w:jc w:val="left"/>
              <w:rPr/>
            </w:pPr>
            <w:hyperlink w:anchor="a_008">
              <w:r>
                <w:rPr>
                  <w:rStyle w:val="InternetLink"/>
                </w:rPr>
                <w:t>Item 2. - 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29</w:t>
            </w:r>
          </w:p>
        </w:tc>
      </w:tr>
      <w:tr>
        <w:trPr/>
        <w:tc>
          <w:tcPr>
            <w:tcW w:w="9365" w:type="dxa"/>
            <w:tcBorders/>
            <w:shd w:fill="FFFFFF" w:val="clear"/>
            <w:vAlign w:val="center"/>
          </w:tcPr>
          <w:p>
            <w:pPr>
              <w:pStyle w:val="TableContents"/>
              <w:bidi w:val="0"/>
              <w:spacing w:before="0" w:after="283"/>
              <w:jc w:val="left"/>
              <w:rPr/>
            </w:pPr>
            <w:hyperlink w:anchor="a_009">
              <w:r>
                <w:rPr>
                  <w:rStyle w:val="InternetLink"/>
                </w:rPr>
                <w:t>Item 3. - Quantitative and Qualitative Disclosures about Market Risk</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40</w:t>
            </w:r>
          </w:p>
        </w:tc>
      </w:tr>
      <w:tr>
        <w:trPr/>
        <w:tc>
          <w:tcPr>
            <w:tcW w:w="9365" w:type="dxa"/>
            <w:tcBorders/>
            <w:shd w:fill="CCEEFF" w:val="clear"/>
            <w:vAlign w:val="center"/>
          </w:tcPr>
          <w:p>
            <w:pPr>
              <w:pStyle w:val="TableContents"/>
              <w:bidi w:val="0"/>
              <w:spacing w:before="0" w:after="283"/>
              <w:jc w:val="left"/>
              <w:rPr/>
            </w:pPr>
            <w:hyperlink w:anchor="a_010">
              <w:r>
                <w:rPr>
                  <w:rStyle w:val="InternetLink"/>
                </w:rPr>
                <w:t>Item 4. - Controls and Procedures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41</w:t>
            </w:r>
          </w:p>
        </w:tc>
      </w:tr>
      <w:tr>
        <w:trPr/>
        <w:tc>
          <w:tcPr>
            <w:tcW w:w="9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 </w:t>
            </w:r>
          </w:p>
        </w:tc>
      </w:tr>
      <w:tr>
        <w:trPr/>
        <w:tc>
          <w:tcPr>
            <w:tcW w:w="9365" w:type="dxa"/>
            <w:tcBorders/>
            <w:shd w:fill="CCEEFF" w:val="clear"/>
            <w:vAlign w:val="center"/>
          </w:tcPr>
          <w:p>
            <w:pPr>
              <w:pStyle w:val="TableContents"/>
              <w:bidi w:val="0"/>
              <w:spacing w:before="0" w:after="283"/>
              <w:jc w:val="left"/>
              <w:rPr/>
            </w:pPr>
            <w:hyperlink w:anchor="a_011">
              <w:r>
                <w:rPr>
                  <w:rStyle w:val="InternetLink"/>
                </w:rPr>
                <w:t>PART II - OTHER INFORMATION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43</w:t>
            </w:r>
          </w:p>
        </w:tc>
      </w:tr>
      <w:tr>
        <w:trPr/>
        <w:tc>
          <w:tcPr>
            <w:tcW w:w="9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 </w:t>
            </w:r>
          </w:p>
        </w:tc>
      </w:tr>
      <w:tr>
        <w:trPr/>
        <w:tc>
          <w:tcPr>
            <w:tcW w:w="9365" w:type="dxa"/>
            <w:tcBorders/>
            <w:shd w:fill="CCEEFF" w:val="clear"/>
            <w:vAlign w:val="center"/>
          </w:tcPr>
          <w:p>
            <w:pPr>
              <w:pStyle w:val="TableContents"/>
              <w:bidi w:val="0"/>
              <w:spacing w:before="0" w:after="283"/>
              <w:jc w:val="left"/>
              <w:rPr/>
            </w:pPr>
            <w:hyperlink w:anchor="a_012">
              <w:r>
                <w:rPr>
                  <w:rStyle w:val="InternetLink"/>
                </w:rPr>
                <w:t>Item 1. - Legal Proceedings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43</w:t>
            </w:r>
          </w:p>
        </w:tc>
      </w:tr>
      <w:tr>
        <w:trPr/>
        <w:tc>
          <w:tcPr>
            <w:tcW w:w="9365" w:type="dxa"/>
            <w:tcBorders/>
            <w:shd w:fill="FFFFFF" w:val="clear"/>
            <w:vAlign w:val="center"/>
          </w:tcPr>
          <w:p>
            <w:pPr>
              <w:pStyle w:val="TableContents"/>
              <w:bidi w:val="0"/>
              <w:spacing w:before="0" w:after="283"/>
              <w:jc w:val="left"/>
              <w:rPr/>
            </w:pPr>
            <w:hyperlink w:anchor="a_013">
              <w:r>
                <w:rPr>
                  <w:rStyle w:val="InternetLink"/>
                </w:rPr>
                <w:t>Item 1.A. - Risk Factors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43</w:t>
            </w:r>
          </w:p>
        </w:tc>
      </w:tr>
      <w:tr>
        <w:trPr/>
        <w:tc>
          <w:tcPr>
            <w:tcW w:w="9365" w:type="dxa"/>
            <w:tcBorders/>
            <w:shd w:fill="CCEEFF" w:val="clear"/>
            <w:vAlign w:val="center"/>
          </w:tcPr>
          <w:p>
            <w:pPr>
              <w:pStyle w:val="TableContents"/>
              <w:bidi w:val="0"/>
              <w:spacing w:before="0" w:after="283"/>
              <w:jc w:val="left"/>
              <w:rPr/>
            </w:pPr>
            <w:hyperlink w:anchor="a_014">
              <w:r>
                <w:rPr>
                  <w:rStyle w:val="InternetLink"/>
                </w:rPr>
                <w:t>Item 2. - Unregistered Sales of Equity Securities and Use of Proceeds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44</w:t>
            </w:r>
          </w:p>
        </w:tc>
      </w:tr>
      <w:tr>
        <w:trPr/>
        <w:tc>
          <w:tcPr>
            <w:tcW w:w="9365" w:type="dxa"/>
            <w:tcBorders/>
            <w:shd w:fill="FFFFFF" w:val="clear"/>
            <w:vAlign w:val="center"/>
          </w:tcPr>
          <w:p>
            <w:pPr>
              <w:pStyle w:val="TableContents"/>
              <w:bidi w:val="0"/>
              <w:spacing w:before="0" w:after="283"/>
              <w:jc w:val="left"/>
              <w:rPr/>
            </w:pPr>
            <w:hyperlink w:anchor="a_015">
              <w:r>
                <w:rPr>
                  <w:rStyle w:val="InternetLink"/>
                </w:rPr>
                <w:t>Item 3. - Defaults Upon Senior Securities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44</w:t>
            </w:r>
          </w:p>
        </w:tc>
      </w:tr>
      <w:tr>
        <w:trPr/>
        <w:tc>
          <w:tcPr>
            <w:tcW w:w="9365" w:type="dxa"/>
            <w:tcBorders/>
            <w:shd w:fill="CCEEFF" w:val="clear"/>
            <w:vAlign w:val="center"/>
          </w:tcPr>
          <w:p>
            <w:pPr>
              <w:pStyle w:val="TableContents"/>
              <w:bidi w:val="0"/>
              <w:spacing w:before="0" w:after="283"/>
              <w:jc w:val="left"/>
              <w:rPr/>
            </w:pPr>
            <w:hyperlink w:anchor="a_016">
              <w:r>
                <w:rPr>
                  <w:rStyle w:val="InternetLink"/>
                </w:rPr>
                <w:t>Item 4. - Mine Safety Disclosures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44</w:t>
            </w:r>
          </w:p>
        </w:tc>
      </w:tr>
      <w:tr>
        <w:trPr/>
        <w:tc>
          <w:tcPr>
            <w:tcW w:w="9365" w:type="dxa"/>
            <w:tcBorders/>
            <w:shd w:fill="FFFFFF" w:val="clear"/>
            <w:vAlign w:val="center"/>
          </w:tcPr>
          <w:p>
            <w:pPr>
              <w:pStyle w:val="TableContents"/>
              <w:bidi w:val="0"/>
              <w:spacing w:before="0" w:after="283"/>
              <w:jc w:val="left"/>
              <w:rPr/>
            </w:pPr>
            <w:hyperlink w:anchor="a_017">
              <w:r>
                <w:rPr>
                  <w:rStyle w:val="InternetLink"/>
                </w:rPr>
                <w:t>Item 5. - Other Information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44</w:t>
            </w:r>
          </w:p>
        </w:tc>
      </w:tr>
      <w:tr>
        <w:trPr/>
        <w:tc>
          <w:tcPr>
            <w:tcW w:w="9365" w:type="dxa"/>
            <w:tcBorders/>
            <w:shd w:fill="CCEEFF" w:val="clear"/>
            <w:vAlign w:val="center"/>
          </w:tcPr>
          <w:p>
            <w:pPr>
              <w:pStyle w:val="TableContents"/>
              <w:bidi w:val="0"/>
              <w:spacing w:before="0" w:after="283"/>
              <w:jc w:val="left"/>
              <w:rPr/>
            </w:pPr>
            <w:hyperlink w:anchor="a_018">
              <w:r>
                <w:rPr>
                  <w:rStyle w:val="InternetLink"/>
                </w:rPr>
                <w:t>Item 6. - Exhibits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45</w:t>
            </w:r>
          </w:p>
        </w:tc>
      </w:tr>
      <w:tr>
        <w:trPr/>
        <w:tc>
          <w:tcPr>
            <w:tcW w:w="9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 </w:t>
            </w:r>
          </w:p>
        </w:tc>
      </w:tr>
      <w:tr>
        <w:trPr/>
        <w:tc>
          <w:tcPr>
            <w:tcW w:w="9365" w:type="dxa"/>
            <w:tcBorders/>
            <w:shd w:fill="CCEEFF" w:val="clear"/>
            <w:vAlign w:val="center"/>
          </w:tcPr>
          <w:p>
            <w:pPr>
              <w:pStyle w:val="TableContents"/>
              <w:bidi w:val="0"/>
              <w:spacing w:before="0" w:after="283"/>
              <w:jc w:val="left"/>
              <w:rPr/>
            </w:pPr>
            <w:hyperlink w:anchor="a_019">
              <w:r>
                <w:rPr>
                  <w:rStyle w:val="InternetLink"/>
                </w:rPr>
                <w:t>SIGNATURES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47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39"/>
        <w:gridCol w:w="60"/>
        <w:gridCol w:w="140"/>
        <w:gridCol w:w="1175"/>
        <w:gridCol w:w="95"/>
        <w:gridCol w:w="60"/>
        <w:gridCol w:w="143"/>
        <w:gridCol w:w="1204"/>
        <w:gridCol w:w="89"/>
      </w:tblGrid>
      <w:tr>
        <w:trPr/>
        <w:tc>
          <w:tcPr>
            <w:tcW w:w="723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89" w:type="dxa"/>
            <w:tcBorders/>
            <w:vAlign w:val="center"/>
          </w:tcPr>
          <w:p>
            <w:pPr>
              <w:pStyle w:val="TableContents"/>
              <w:bidi w:val="0"/>
              <w:spacing w:before="0" w:after="283"/>
              <w:ind w:left="0" w:right="0" w:hanging="180"/>
              <w:jc w:val="left"/>
              <w:rPr/>
            </w:pPr>
            <w:r>
              <w:rPr/>
              <w:t> </w:t>
            </w:r>
          </w:p>
        </w:tc>
      </w:tr>
      <w:tr>
        <w:trPr/>
        <w:tc>
          <w:tcPr>
            <w:tcW w:w="7239"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ind w:left="0" w:right="0" w:hanging="180"/>
              <w:jc w:val="left"/>
              <w:rPr/>
            </w:pPr>
            <w:r>
              <w:rPr/>
              <w:t> </w:t>
            </w:r>
          </w:p>
        </w:tc>
      </w:tr>
      <w:tr>
        <w:trPr/>
        <w:tc>
          <w:tcPr>
            <w:tcW w:w="7239"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ind w:left="0" w:right="0" w:hanging="180"/>
              <w:jc w:val="left"/>
              <w:rPr/>
            </w:pPr>
            <w:r>
              <w:rPr/>
              <w:t> </w:t>
            </w:r>
          </w:p>
        </w:tc>
      </w:tr>
      <w:tr>
        <w:trPr/>
        <w:tc>
          <w:tcPr>
            <w:tcW w:w="7239"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456,069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865,624</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239"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32,687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3,624,547</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239"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2,668,700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1,430,881</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239"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420,398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480,903</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239"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3,577,854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6,401,955</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239" w:type="dxa"/>
            <w:tcBorders/>
            <w:shd w:fill="FFFFFF" w:val="clear"/>
            <w:vAlign w:val="center"/>
          </w:tcPr>
          <w:p>
            <w:pPr>
              <w:pStyle w:val="TableContents"/>
              <w:bidi w:val="0"/>
              <w:spacing w:before="0" w:after="283"/>
              <w:jc w:val="left"/>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239"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603,221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645,240</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239" w:type="dxa"/>
            <w:tcBorders/>
            <w:shd w:fill="FFFFFF" w:val="clear"/>
            <w:vAlign w:val="center"/>
          </w:tcPr>
          <w:p>
            <w:pPr>
              <w:pStyle w:val="TableContents"/>
              <w:bidi w:val="0"/>
              <w:spacing w:before="0" w:after="283"/>
              <w:jc w:val="left"/>
              <w:rPr/>
            </w:pPr>
            <w:r>
              <w:rPr/>
              <w:t>Operating lease right-of-use assets (ROU)</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630,958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701,878</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239" w:type="dxa"/>
            <w:tcBorders/>
            <w:shd w:fill="CCEEFF" w:val="clear"/>
            <w:vAlign w:val="center"/>
          </w:tcPr>
          <w:p>
            <w:pPr>
              <w:pStyle w:val="TableContents"/>
              <w:bidi w:val="0"/>
              <w:spacing w:before="0" w:after="283"/>
              <w:jc w:val="left"/>
              <w:rPr/>
            </w:pPr>
            <w:r>
              <w:rPr/>
              <w:t>Capitalized software development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2,667,942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2,920,718</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239" w:type="dxa"/>
            <w:tcBorders/>
            <w:shd w:fill="FFFFFF" w:val="clear"/>
            <w:vAlign w:val="center"/>
          </w:tcPr>
          <w:p>
            <w:pPr>
              <w:pStyle w:val="TableContents"/>
              <w:bidi w:val="0"/>
              <w:spacing w:before="0" w:after="283"/>
              <w:jc w:val="left"/>
              <w:rPr/>
            </w:pPr>
            <w:r>
              <w:rPr/>
              <w:t>Other long-term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26,840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27,893</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239" w:type="dxa"/>
            <w:tcBorders/>
            <w:shd w:fill="CCEEFF" w:val="clear"/>
            <w:vAlign w:val="center"/>
          </w:tcPr>
          <w:p>
            <w:pPr>
              <w:pStyle w:val="TableContents"/>
              <w:bidi w:val="0"/>
              <w:spacing w:before="0" w:after="283"/>
              <w:jc w:val="left"/>
              <w:rPr/>
            </w:pPr>
            <w:r>
              <w:rPr/>
              <w:t>Total long-term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3,928,961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4,295,729</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239"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7,506,815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4" w:type="dxa"/>
            <w:tcBorders>
              <w:bottom w:val="double" w:sz="10" w:space="0" w:color="000000"/>
            </w:tcBorders>
            <w:shd w:fill="FFFFFF" w:val="clear"/>
            <w:tcMar>
              <w:bottom w:w="28" w:type="dxa"/>
            </w:tcMar>
            <w:vAlign w:val="center"/>
          </w:tcPr>
          <w:p>
            <w:pPr>
              <w:pStyle w:val="TableContents"/>
              <w:bidi w:val="0"/>
              <w:spacing w:before="0" w:after="283"/>
              <w:jc w:val="right"/>
              <w:rPr/>
            </w:pPr>
            <w:r>
              <w:rPr/>
              <w:t>10,697,684</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239" w:type="dxa"/>
            <w:tcBorders/>
            <w:shd w:fill="CCEEFF" w:val="clear"/>
            <w:vAlign w:val="center"/>
          </w:tcPr>
          <w:p>
            <w:pPr>
              <w:pStyle w:val="TableContents"/>
              <w:bidi w:val="0"/>
              <w:spacing w:before="0" w:after="283"/>
              <w:jc w:val="left"/>
              <w:rPr/>
            </w:pPr>
            <w:r>
              <w:rPr/>
              <w:t>LIABILITIES AND SHAREHOLDERS’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239"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239"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6,608,784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4,124,924</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239"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2,185,947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1,826,189</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239" w:type="dxa"/>
            <w:tcBorders/>
            <w:shd w:fill="CCEEFF" w:val="clear"/>
            <w:vAlign w:val="center"/>
          </w:tcPr>
          <w:p>
            <w:pPr>
              <w:pStyle w:val="TableContents"/>
              <w:bidi w:val="0"/>
              <w:spacing w:before="0" w:after="283"/>
              <w:jc w:val="left"/>
              <w:rPr/>
            </w:pPr>
            <w:r>
              <w:rPr/>
              <w:t>Accrued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201,737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177,222</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239" w:type="dxa"/>
            <w:tcBorders/>
            <w:shd w:fill="FFFFFF" w:val="clear"/>
            <w:vAlign w:val="center"/>
          </w:tcPr>
          <w:p>
            <w:pPr>
              <w:pStyle w:val="TableContents"/>
              <w:bidi w:val="0"/>
              <w:spacing w:before="0" w:after="283"/>
              <w:jc w:val="left"/>
              <w:rPr/>
            </w:pPr>
            <w:r>
              <w:rPr/>
              <w:t>Accrued franchise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8,428</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239" w:type="dxa"/>
            <w:tcBorders/>
            <w:shd w:fill="CCEEFF" w:val="clear"/>
            <w:vAlign w:val="center"/>
          </w:tcPr>
          <w:p>
            <w:pPr>
              <w:pStyle w:val="TableContents"/>
              <w:bidi w:val="0"/>
              <w:spacing w:before="0" w:after="283"/>
              <w:jc w:val="left"/>
              <w:rPr/>
            </w:pPr>
            <w:r>
              <w:rPr/>
              <w:t>Interest payable to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239" w:type="dxa"/>
            <w:tcBorders/>
            <w:shd w:fill="FFFFFF" w:val="clear"/>
            <w:vAlign w:val="center"/>
          </w:tcPr>
          <w:p>
            <w:pPr>
              <w:pStyle w:val="TableContents"/>
              <w:bidi w:val="0"/>
              <w:spacing w:before="0" w:after="283"/>
              <w:jc w:val="left"/>
              <w:rPr/>
            </w:pPr>
            <w:r>
              <w:rPr/>
              <w:t>Derivative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197,742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78,635</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239" w:type="dxa"/>
            <w:tcBorders/>
            <w:shd w:fill="CCEEFF" w:val="clear"/>
            <w:vAlign w:val="center"/>
          </w:tcPr>
          <w:p>
            <w:pPr>
              <w:pStyle w:val="TableContents"/>
              <w:bidi w:val="0"/>
              <w:spacing w:before="0" w:after="283"/>
              <w:jc w:val="left"/>
              <w:rPr/>
            </w:pPr>
            <w:r>
              <w:rPr/>
              <w:t>Short-term debt from third-parties,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1,345,450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1,540,651</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239" w:type="dxa"/>
            <w:tcBorders/>
            <w:shd w:fill="FFFFFF" w:val="clear"/>
            <w:vAlign w:val="center"/>
          </w:tcPr>
          <w:p>
            <w:pPr>
              <w:pStyle w:val="TableContents"/>
              <w:bidi w:val="0"/>
              <w:spacing w:before="0" w:after="283"/>
              <w:jc w:val="left"/>
              <w:rPr/>
            </w:pPr>
            <w:r>
              <w:rPr/>
              <w:t>Short-term debt from related parties,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349,996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239" w:type="dxa"/>
            <w:tcBorders/>
            <w:shd w:fill="CCEEFF" w:val="clear"/>
            <w:vAlign w:val="center"/>
          </w:tcPr>
          <w:p>
            <w:pPr>
              <w:pStyle w:val="TableContents"/>
              <w:bidi w:val="0"/>
              <w:spacing w:before="0" w:after="283"/>
              <w:jc w:val="left"/>
              <w:rPr/>
            </w:pPr>
            <w:r>
              <w:rPr/>
              <w:t>Deferred revenue,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1,984,370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236,038</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239" w:type="dxa"/>
            <w:tcBorders/>
            <w:shd w:fill="FFFFFF" w:val="clear"/>
            <w:vAlign w:val="center"/>
          </w:tcPr>
          <w:p>
            <w:pPr>
              <w:pStyle w:val="TableContents"/>
              <w:bidi w:val="0"/>
              <w:spacing w:before="0" w:after="283"/>
              <w:jc w:val="left"/>
              <w:rPr/>
            </w:pPr>
            <w:r>
              <w:rPr/>
              <w:t>Operating lease liabilities,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148,808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139,963</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239"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13,053,606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8,132,050</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239" w:type="dxa"/>
            <w:tcBorders/>
            <w:shd w:fill="FFFFFF" w:val="clear"/>
            <w:vAlign w:val="center"/>
          </w:tcPr>
          <w:p>
            <w:pPr>
              <w:pStyle w:val="TableContents"/>
              <w:bidi w:val="0"/>
              <w:spacing w:before="0" w:after="283"/>
              <w:jc w:val="left"/>
              <w:rPr/>
            </w:pPr>
            <w:r>
              <w:rPr/>
              <w:t>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239" w:type="dxa"/>
            <w:tcBorders/>
            <w:shd w:fill="CCEEFF" w:val="clear"/>
            <w:vAlign w:val="center"/>
          </w:tcPr>
          <w:p>
            <w:pPr>
              <w:pStyle w:val="TableContents"/>
              <w:bidi w:val="0"/>
              <w:spacing w:before="0" w:after="283"/>
              <w:jc w:val="left"/>
              <w:rPr/>
            </w:pPr>
            <w:r>
              <w:rPr/>
              <w:t>Deferred revenue,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1,748,512</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239" w:type="dxa"/>
            <w:tcBorders/>
            <w:shd w:fill="FFFFFF" w:val="clear"/>
            <w:vAlign w:val="center"/>
          </w:tcPr>
          <w:p>
            <w:pPr>
              <w:pStyle w:val="TableContents"/>
              <w:bidi w:val="0"/>
              <w:spacing w:before="0" w:after="283"/>
              <w:jc w:val="left"/>
              <w:rPr/>
            </w:pPr>
            <w:r>
              <w:rPr/>
              <w:t>Operating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500,910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577,656</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239" w:type="dxa"/>
            <w:tcBorders/>
            <w:shd w:fill="CCEEFF" w:val="clear"/>
            <w:vAlign w:val="center"/>
          </w:tcPr>
          <w:p>
            <w:pPr>
              <w:pStyle w:val="TableContents"/>
              <w:bidi w:val="0"/>
              <w:spacing w:before="0" w:after="283"/>
              <w:jc w:val="left"/>
              <w:rPr/>
            </w:pPr>
            <w:r>
              <w:rPr/>
              <w:t>Total 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500,910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2,326,168</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239"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13,554,516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10,458,218</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239" w:type="dxa"/>
            <w:tcBorders/>
            <w:shd w:fill="CCEEFF" w:val="clear"/>
            <w:vAlign w:val="center"/>
          </w:tcPr>
          <w:p>
            <w:pPr>
              <w:pStyle w:val="TableContents"/>
              <w:bidi w:val="0"/>
              <w:spacing w:before="0" w:after="283"/>
              <w:jc w:val="left"/>
              <w:rPr/>
            </w:pPr>
            <w:r>
              <w:rPr/>
              <w:t>Commitments and contingencies (Note 18)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239" w:type="dxa"/>
            <w:tcBorders/>
            <w:shd w:fill="FFFFFF" w:val="clear"/>
            <w:vAlign w:val="center"/>
          </w:tcPr>
          <w:p>
            <w:pPr>
              <w:pStyle w:val="TableContents"/>
              <w:bidi w:val="0"/>
              <w:spacing w:before="0" w:after="283"/>
              <w:jc w:val="left"/>
              <w:rPr/>
            </w:pPr>
            <w:r>
              <w:rPr/>
              <w:t>Shareholders’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239" w:type="dxa"/>
            <w:tcBorders/>
            <w:shd w:fill="CCEEFF" w:val="clear"/>
            <w:vAlign w:val="center"/>
          </w:tcPr>
          <w:p>
            <w:pPr>
              <w:pStyle w:val="TableContents"/>
              <w:bidi w:val="0"/>
              <w:spacing w:before="0" w:after="283"/>
              <w:jc w:val="left"/>
              <w:rPr/>
            </w:pPr>
            <w:r>
              <w:rPr/>
              <w:t>Common stock, $0.0001 par value; 300,000,000 shares authorized; 1,966,042 and 1,170,933 shares issued and outstanding as of June 30, 2026 and December 31, 2025, respectively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117</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239" w:type="dxa"/>
            <w:tcBorders/>
            <w:shd w:fill="FFFFFF" w:val="clear"/>
            <w:vAlign w:val="center"/>
          </w:tcPr>
          <w:p>
            <w:pPr>
              <w:pStyle w:val="TableContents"/>
              <w:bidi w:val="0"/>
              <w:spacing w:before="0" w:after="283"/>
              <w:jc w:val="left"/>
              <w:rPr/>
            </w:pPr>
            <w:r>
              <w:rPr/>
              <w:t>Additional paid-in capital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63,639,477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61,690,683</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239"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(69,687,375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(61,451,334</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7239" w:type="dxa"/>
            <w:tcBorders/>
            <w:shd w:fill="FFFFFF" w:val="clear"/>
            <w:vAlign w:val="center"/>
          </w:tcPr>
          <w:p>
            <w:pPr>
              <w:pStyle w:val="TableContents"/>
              <w:bidi w:val="0"/>
              <w:spacing w:before="0" w:after="283"/>
              <w:jc w:val="left"/>
              <w:rPr/>
            </w:pPr>
            <w:r>
              <w:rPr/>
              <w:t>Total shareholders’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(6,047,701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239,466</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239" w:type="dxa"/>
            <w:tcBorders/>
            <w:shd w:fill="CCEEFF" w:val="clear"/>
            <w:vAlign w:val="center"/>
          </w:tcPr>
          <w:p>
            <w:pPr>
              <w:pStyle w:val="TableContents"/>
              <w:bidi w:val="0"/>
              <w:spacing w:before="0" w:after="283"/>
              <w:jc w:val="left"/>
              <w:rPr/>
            </w:pPr>
            <w:r>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7,506,815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double" w:sz="10" w:space="0" w:color="000000"/>
            </w:tcBorders>
            <w:shd w:fill="CCEEFF" w:val="clear"/>
            <w:tcMar>
              <w:bottom w:w="28" w:type="dxa"/>
            </w:tcMar>
            <w:vAlign w:val="center"/>
          </w:tcPr>
          <w:p>
            <w:pPr>
              <w:pStyle w:val="TableContents"/>
              <w:bidi w:val="0"/>
              <w:spacing w:before="0" w:after="283"/>
              <w:jc w:val="right"/>
              <w:rPr/>
            </w:pPr>
            <w:r>
              <w:rPr/>
              <w:t>10,697,684</w:t>
            </w:r>
          </w:p>
        </w:tc>
        <w:tc>
          <w:tcPr>
            <w:tcW w:w="8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All share information, Common Stock balances, and Additional paid-in capital balances have been adjusted to reflect a  1-for-25 reverse stock split effective May 29,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38"/>
        <w:gridCol w:w="60"/>
        <w:gridCol w:w="160"/>
        <w:gridCol w:w="1215"/>
        <w:gridCol w:w="108"/>
        <w:gridCol w:w="68"/>
        <w:gridCol w:w="160"/>
        <w:gridCol w:w="1352"/>
        <w:gridCol w:w="95"/>
        <w:gridCol w:w="60"/>
        <w:gridCol w:w="145"/>
        <w:gridCol w:w="1098"/>
        <w:gridCol w:w="98"/>
        <w:gridCol w:w="61"/>
        <w:gridCol w:w="145"/>
        <w:gridCol w:w="1223"/>
        <w:gridCol w:w="119"/>
      </w:tblGrid>
      <w:tr>
        <w:trPr/>
        <w:tc>
          <w:tcPr>
            <w:tcW w:w="40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19" w:type="dxa"/>
            <w:tcBorders/>
            <w:vAlign w:val="center"/>
          </w:tcPr>
          <w:p>
            <w:pPr>
              <w:pStyle w:val="TableContents"/>
              <w:bidi w:val="0"/>
              <w:spacing w:before="0" w:after="283"/>
              <w:jc w:val="left"/>
              <w:rPr/>
            </w:pPr>
            <w:r>
              <w:rPr/>
              <w:t> </w:t>
            </w:r>
          </w:p>
        </w:tc>
      </w:tr>
      <w:tr>
        <w:trPr/>
        <w:tc>
          <w:tcPr>
            <w:tcW w:w="40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5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3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9" w:type="dxa"/>
            <w:tcBorders/>
            <w:vAlign w:val="center"/>
          </w:tcPr>
          <w:p>
            <w:pPr>
              <w:pStyle w:val="TableContents"/>
              <w:bidi w:val="0"/>
              <w:spacing w:before="0" w:after="283"/>
              <w:jc w:val="left"/>
              <w:rPr/>
            </w:pPr>
            <w:r>
              <w:rPr/>
              <w:t> </w:t>
            </w:r>
          </w:p>
        </w:tc>
      </w:tr>
      <w:tr>
        <w:trPr/>
        <w:tc>
          <w:tcPr>
            <w:tcW w:w="4038"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12,398</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352" w:type="dxa"/>
            <w:tcBorders/>
            <w:shd w:fill="CCEEFF" w:val="clear"/>
            <w:vAlign w:val="center"/>
          </w:tcPr>
          <w:p>
            <w:pPr>
              <w:pStyle w:val="TableContents"/>
              <w:bidi w:val="0"/>
              <w:spacing w:before="0" w:after="283"/>
              <w:jc w:val="right"/>
              <w:rPr/>
            </w:pPr>
            <w:r>
              <w:rPr/>
              <w:t>126,833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98" w:type="dxa"/>
            <w:tcBorders/>
            <w:shd w:fill="CCEEFF" w:val="clear"/>
            <w:vAlign w:val="center"/>
          </w:tcPr>
          <w:p>
            <w:pPr>
              <w:pStyle w:val="TableContents"/>
              <w:bidi w:val="0"/>
              <w:spacing w:before="0" w:after="283"/>
              <w:jc w:val="right"/>
              <w:rPr/>
            </w:pPr>
            <w:r>
              <w:rPr/>
              <w:t>24,612</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479,331</w:t>
            </w:r>
          </w:p>
        </w:tc>
        <w:tc>
          <w:tcPr>
            <w:tcW w:w="119" w:type="dxa"/>
            <w:tcBorders/>
            <w:shd w:fill="CCEEFF" w:val="clear"/>
            <w:vAlign w:val="center"/>
          </w:tcPr>
          <w:p>
            <w:pPr>
              <w:pStyle w:val="TableContents"/>
              <w:bidi w:val="0"/>
              <w:spacing w:before="0" w:after="283"/>
              <w:jc w:val="left"/>
              <w:rPr/>
            </w:pPr>
            <w:r>
              <w:rPr/>
              <w:t> </w:t>
            </w:r>
          </w:p>
        </w:tc>
      </w:tr>
      <w:tr>
        <w:trPr/>
        <w:tc>
          <w:tcPr>
            <w:tcW w:w="4038"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FFFFFF" w:val="clear"/>
            <w:tcMar>
              <w:bottom w:w="28" w:type="dxa"/>
            </w:tcMar>
            <w:vAlign w:val="center"/>
          </w:tcPr>
          <w:p>
            <w:pPr>
              <w:pStyle w:val="TableContents"/>
              <w:bidi w:val="0"/>
              <w:spacing w:before="0" w:after="283"/>
              <w:jc w:val="right"/>
              <w:rPr/>
            </w:pPr>
            <w:r>
              <w:rPr/>
              <w:t>6,638</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FFFFFF" w:val="clear"/>
            <w:tcMar>
              <w:bottom w:w="28" w:type="dxa"/>
            </w:tcMar>
            <w:vAlign w:val="center"/>
          </w:tcPr>
          <w:p>
            <w:pPr>
              <w:pStyle w:val="TableContents"/>
              <w:bidi w:val="0"/>
              <w:spacing w:before="0" w:after="283"/>
              <w:jc w:val="right"/>
              <w:rPr/>
            </w:pPr>
            <w:r>
              <w:rPr/>
              <w:t>67,194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FFFFFF" w:val="clear"/>
            <w:tcMar>
              <w:bottom w:w="28" w:type="dxa"/>
            </w:tcMar>
            <w:vAlign w:val="center"/>
          </w:tcPr>
          <w:p>
            <w:pPr>
              <w:pStyle w:val="TableContents"/>
              <w:bidi w:val="0"/>
              <w:spacing w:before="0" w:after="283"/>
              <w:jc w:val="right"/>
              <w:rPr/>
            </w:pPr>
            <w:r>
              <w:rPr/>
              <w:t>9,304</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pPr>
            <w:r>
              <w:rPr/>
              <w:t>84,272</w:t>
            </w:r>
          </w:p>
        </w:tc>
        <w:tc>
          <w:tcPr>
            <w:tcW w:w="119" w:type="dxa"/>
            <w:tcBorders/>
            <w:shd w:fill="FFFFFF" w:val="clear"/>
            <w:vAlign w:val="center"/>
          </w:tcPr>
          <w:p>
            <w:pPr>
              <w:pStyle w:val="TableContents"/>
              <w:bidi w:val="0"/>
              <w:spacing w:before="0" w:after="283"/>
              <w:jc w:val="left"/>
              <w:rPr/>
            </w:pPr>
            <w:r>
              <w:rPr/>
              <w:t> </w:t>
            </w:r>
          </w:p>
        </w:tc>
      </w:tr>
      <w:tr>
        <w:trPr/>
        <w:tc>
          <w:tcPr>
            <w:tcW w:w="4038"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5,760</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CCEEFF" w:val="clear"/>
            <w:tcMar>
              <w:bottom w:w="28" w:type="dxa"/>
            </w:tcMar>
            <w:vAlign w:val="center"/>
          </w:tcPr>
          <w:p>
            <w:pPr>
              <w:pStyle w:val="TableContents"/>
              <w:bidi w:val="0"/>
              <w:spacing w:before="0" w:after="283"/>
              <w:jc w:val="right"/>
              <w:rPr/>
            </w:pPr>
            <w:r>
              <w:rPr/>
              <w:t>59,639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15,308</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395,059</w:t>
            </w:r>
          </w:p>
        </w:tc>
        <w:tc>
          <w:tcPr>
            <w:tcW w:w="119" w:type="dxa"/>
            <w:tcBorders/>
            <w:shd w:fill="CCEEFF" w:val="clear"/>
            <w:vAlign w:val="center"/>
          </w:tcPr>
          <w:p>
            <w:pPr>
              <w:pStyle w:val="TableContents"/>
              <w:bidi w:val="0"/>
              <w:spacing w:before="0" w:after="283"/>
              <w:jc w:val="left"/>
              <w:rPr/>
            </w:pPr>
            <w:r>
              <w:rPr/>
              <w:t> </w:t>
            </w:r>
          </w:p>
        </w:tc>
      </w:tr>
      <w:tr>
        <w:trPr/>
        <w:tc>
          <w:tcPr>
            <w:tcW w:w="4038"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r>
      <w:tr>
        <w:trPr/>
        <w:tc>
          <w:tcPr>
            <w:tcW w:w="4038"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2,099,979</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824,204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4,516,691</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1,441,935</w:t>
            </w:r>
          </w:p>
        </w:tc>
        <w:tc>
          <w:tcPr>
            <w:tcW w:w="119" w:type="dxa"/>
            <w:tcBorders/>
            <w:shd w:fill="CCEEFF" w:val="clear"/>
            <w:vAlign w:val="center"/>
          </w:tcPr>
          <w:p>
            <w:pPr>
              <w:pStyle w:val="TableContents"/>
              <w:bidi w:val="0"/>
              <w:spacing w:before="0" w:after="283"/>
              <w:jc w:val="left"/>
              <w:rPr/>
            </w:pPr>
            <w:r>
              <w:rPr/>
              <w:t> </w:t>
            </w:r>
          </w:p>
        </w:tc>
      </w:tr>
      <w:tr>
        <w:trPr/>
        <w:tc>
          <w:tcPr>
            <w:tcW w:w="4038"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394,769</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181,641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1,006,074</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575,505</w:t>
            </w:r>
          </w:p>
        </w:tc>
        <w:tc>
          <w:tcPr>
            <w:tcW w:w="119" w:type="dxa"/>
            <w:tcBorders/>
            <w:shd w:fill="FFFFFF" w:val="clear"/>
            <w:vAlign w:val="center"/>
          </w:tcPr>
          <w:p>
            <w:pPr>
              <w:pStyle w:val="TableContents"/>
              <w:bidi w:val="0"/>
              <w:spacing w:before="0" w:after="283"/>
              <w:jc w:val="left"/>
              <w:rPr/>
            </w:pPr>
            <w:r>
              <w:rPr/>
              <w:t> </w:t>
            </w:r>
          </w:p>
        </w:tc>
      </w:tr>
      <w:tr>
        <w:trPr/>
        <w:tc>
          <w:tcPr>
            <w:tcW w:w="4038"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373,695</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770,247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1,286,840</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1,452,996</w:t>
            </w:r>
          </w:p>
        </w:tc>
        <w:tc>
          <w:tcPr>
            <w:tcW w:w="119" w:type="dxa"/>
            <w:tcBorders/>
            <w:shd w:fill="CCEEFF" w:val="clear"/>
            <w:vAlign w:val="center"/>
          </w:tcPr>
          <w:p>
            <w:pPr>
              <w:pStyle w:val="TableContents"/>
              <w:bidi w:val="0"/>
              <w:spacing w:before="0" w:after="283"/>
              <w:jc w:val="left"/>
              <w:rPr/>
            </w:pPr>
            <w:r>
              <w:rPr/>
              <w:t> </w:t>
            </w:r>
          </w:p>
        </w:tc>
      </w:tr>
      <w:tr>
        <w:trPr/>
        <w:tc>
          <w:tcPr>
            <w:tcW w:w="4038" w:type="dxa"/>
            <w:tcBorders/>
            <w:shd w:fill="FFFFFF" w:val="clear"/>
            <w:vAlign w:val="center"/>
          </w:tcPr>
          <w:p>
            <w:pPr>
              <w:pStyle w:val="TableContents"/>
              <w:bidi w:val="0"/>
              <w:spacing w:before="0" w:after="283"/>
              <w:jc w:val="left"/>
              <w:rPr/>
            </w:pPr>
            <w:r>
              <w:rPr/>
              <w:t>Acquisition and integration</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534,290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911,627</w:t>
            </w:r>
          </w:p>
        </w:tc>
        <w:tc>
          <w:tcPr>
            <w:tcW w:w="119" w:type="dxa"/>
            <w:tcBorders/>
            <w:shd w:fill="FFFFFF" w:val="clear"/>
            <w:vAlign w:val="center"/>
          </w:tcPr>
          <w:p>
            <w:pPr>
              <w:pStyle w:val="TableContents"/>
              <w:bidi w:val="0"/>
              <w:spacing w:before="0" w:after="283"/>
              <w:jc w:val="left"/>
              <w:rPr/>
            </w:pPr>
            <w:r>
              <w:rPr/>
              <w:t> </w:t>
            </w:r>
          </w:p>
        </w:tc>
      </w:tr>
      <w:tr>
        <w:trPr/>
        <w:tc>
          <w:tcPr>
            <w:tcW w:w="4038"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167,046</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CCEEFF" w:val="clear"/>
            <w:tcMar>
              <w:bottom w:w="28" w:type="dxa"/>
            </w:tcMar>
            <w:vAlign w:val="center"/>
          </w:tcPr>
          <w:p>
            <w:pPr>
              <w:pStyle w:val="TableContents"/>
              <w:bidi w:val="0"/>
              <w:spacing w:before="0" w:after="283"/>
              <w:jc w:val="right"/>
              <w:rPr/>
            </w:pPr>
            <w:r>
              <w:rPr/>
              <w:t>5,101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334,091</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5,101</w:t>
            </w:r>
          </w:p>
        </w:tc>
        <w:tc>
          <w:tcPr>
            <w:tcW w:w="119" w:type="dxa"/>
            <w:tcBorders/>
            <w:shd w:fill="CCEEFF" w:val="clear"/>
            <w:vAlign w:val="center"/>
          </w:tcPr>
          <w:p>
            <w:pPr>
              <w:pStyle w:val="TableContents"/>
              <w:bidi w:val="0"/>
              <w:spacing w:before="0" w:after="283"/>
              <w:jc w:val="left"/>
              <w:rPr/>
            </w:pPr>
            <w:r>
              <w:rPr/>
              <w:t> </w:t>
            </w:r>
          </w:p>
        </w:tc>
      </w:tr>
      <w:tr>
        <w:trPr/>
        <w:tc>
          <w:tcPr>
            <w:tcW w:w="4038"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FFFFFF" w:val="clear"/>
            <w:tcMar>
              <w:bottom w:w="28" w:type="dxa"/>
            </w:tcMar>
            <w:vAlign w:val="center"/>
          </w:tcPr>
          <w:p>
            <w:pPr>
              <w:pStyle w:val="TableContents"/>
              <w:bidi w:val="0"/>
              <w:spacing w:before="0" w:after="283"/>
              <w:jc w:val="right"/>
              <w:rPr/>
            </w:pPr>
            <w:r>
              <w:rPr/>
              <w:t>3,035,489</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FFFFFF" w:val="clear"/>
            <w:tcMar>
              <w:bottom w:w="28" w:type="dxa"/>
            </w:tcMar>
            <w:vAlign w:val="center"/>
          </w:tcPr>
          <w:p>
            <w:pPr>
              <w:pStyle w:val="TableContents"/>
              <w:bidi w:val="0"/>
              <w:spacing w:before="0" w:after="283"/>
              <w:jc w:val="right"/>
              <w:rPr/>
            </w:pPr>
            <w:r>
              <w:rPr/>
              <w:t>2,315,483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FFFFFF" w:val="clear"/>
            <w:tcMar>
              <w:bottom w:w="28" w:type="dxa"/>
            </w:tcMar>
            <w:vAlign w:val="center"/>
          </w:tcPr>
          <w:p>
            <w:pPr>
              <w:pStyle w:val="TableContents"/>
              <w:bidi w:val="0"/>
              <w:spacing w:before="0" w:after="283"/>
              <w:jc w:val="right"/>
              <w:rPr/>
            </w:pPr>
            <w:r>
              <w:rPr/>
              <w:t>7,143,696</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pPr>
            <w:r>
              <w:rPr/>
              <w:t>4,387,164</w:t>
            </w:r>
          </w:p>
        </w:tc>
        <w:tc>
          <w:tcPr>
            <w:tcW w:w="119" w:type="dxa"/>
            <w:tcBorders/>
            <w:shd w:fill="FFFFFF" w:val="clear"/>
            <w:vAlign w:val="center"/>
          </w:tcPr>
          <w:p>
            <w:pPr>
              <w:pStyle w:val="TableContents"/>
              <w:bidi w:val="0"/>
              <w:spacing w:before="0" w:after="283"/>
              <w:jc w:val="left"/>
              <w:rPr/>
            </w:pPr>
            <w:r>
              <w:rPr/>
              <w:t> </w:t>
            </w:r>
          </w:p>
        </w:tc>
      </w:tr>
      <w:tr>
        <w:trPr/>
        <w:tc>
          <w:tcPr>
            <w:tcW w:w="4038"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(3,029,729</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CCEEFF" w:val="clear"/>
            <w:tcMar>
              <w:bottom w:w="28" w:type="dxa"/>
            </w:tcMar>
            <w:vAlign w:val="center"/>
          </w:tcPr>
          <w:p>
            <w:pPr>
              <w:pStyle w:val="TableContents"/>
              <w:bidi w:val="0"/>
              <w:spacing w:before="0" w:after="283"/>
              <w:jc w:val="right"/>
              <w:rPr/>
            </w:pPr>
            <w:r>
              <w:rPr/>
              <w:t>(2,255,844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(7,128,388</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(3,992,105</w:t>
            </w:r>
          </w:p>
        </w:tc>
        <w:tc>
          <w:tcPr>
            <w:tcW w:w="119" w:type="dxa"/>
            <w:tcBorders/>
            <w:shd w:fill="CCEEFF" w:val="clear"/>
            <w:vAlign w:val="center"/>
          </w:tcPr>
          <w:p>
            <w:pPr>
              <w:pStyle w:val="TableContents"/>
              <w:bidi w:val="0"/>
              <w:spacing w:before="0" w:after="283"/>
              <w:jc w:val="left"/>
              <w:rPr/>
            </w:pPr>
            <w:r>
              <w:rPr/>
              <w:t>)</w:t>
            </w:r>
          </w:p>
        </w:tc>
      </w:tr>
      <w:tr>
        <w:trPr/>
        <w:tc>
          <w:tcPr>
            <w:tcW w:w="4038" w:type="dxa"/>
            <w:tcBorders/>
            <w:shd w:fill="FFFFFF" w:val="clear"/>
            <w:vAlign w:val="center"/>
          </w:tcPr>
          <w:p>
            <w:pPr>
              <w:pStyle w:val="TableContents"/>
              <w:bidi w:val="0"/>
              <w:spacing w:before="0" w:after="283"/>
              <w:jc w:val="left"/>
              <w:rPr/>
            </w:pPr>
            <w:r>
              <w:rPr/>
              <w:t>Other expenses: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r>
      <w:tr>
        <w:trPr/>
        <w:tc>
          <w:tcPr>
            <w:tcW w:w="4038"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(743,938</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(168,763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(1,109,191</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(328,763</w:t>
            </w:r>
          </w:p>
        </w:tc>
        <w:tc>
          <w:tcPr>
            <w:tcW w:w="119" w:type="dxa"/>
            <w:tcBorders/>
            <w:shd w:fill="CCEEFF" w:val="clear"/>
            <w:vAlign w:val="center"/>
          </w:tcPr>
          <w:p>
            <w:pPr>
              <w:pStyle w:val="TableContents"/>
              <w:bidi w:val="0"/>
              <w:spacing w:before="0" w:after="283"/>
              <w:jc w:val="left"/>
              <w:rPr/>
            </w:pPr>
            <w:r>
              <w:rPr/>
              <w:t>)</w:t>
            </w:r>
          </w:p>
        </w:tc>
      </w:tr>
      <w:tr>
        <w:trPr/>
        <w:tc>
          <w:tcPr>
            <w:tcW w:w="4038" w:type="dxa"/>
            <w:tcBorders/>
            <w:shd w:fill="FFFFFF" w:val="clear"/>
            <w:vAlign w:val="center"/>
          </w:tcPr>
          <w:p>
            <w:pPr>
              <w:pStyle w:val="TableContents"/>
              <w:bidi w:val="0"/>
              <w:spacing w:before="0" w:after="283"/>
              <w:jc w:val="left"/>
              <w:rPr/>
            </w:pPr>
            <w:r>
              <w:rPr/>
              <w:t>Change in fair value of SAFE notes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(17,980,118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(17,368,415</w:t>
            </w:r>
          </w:p>
        </w:tc>
        <w:tc>
          <w:tcPr>
            <w:tcW w:w="119" w:type="dxa"/>
            <w:tcBorders/>
            <w:shd w:fill="FFFFFF" w:val="clear"/>
            <w:vAlign w:val="center"/>
          </w:tcPr>
          <w:p>
            <w:pPr>
              <w:pStyle w:val="TableContents"/>
              <w:bidi w:val="0"/>
              <w:spacing w:before="0" w:after="283"/>
              <w:jc w:val="left"/>
              <w:rPr/>
            </w:pPr>
            <w:r>
              <w:rPr/>
              <w:t>)</w:t>
            </w:r>
          </w:p>
        </w:tc>
      </w:tr>
      <w:tr>
        <w:trPr/>
        <w:tc>
          <w:tcPr>
            <w:tcW w:w="4038"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(17,864</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(17,864</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r>
      <w:tr>
        <w:trPr/>
        <w:tc>
          <w:tcPr>
            <w:tcW w:w="4038"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(2,726,183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(2,726,183</w:t>
            </w:r>
          </w:p>
        </w:tc>
        <w:tc>
          <w:tcPr>
            <w:tcW w:w="119" w:type="dxa"/>
            <w:tcBorders/>
            <w:shd w:fill="FFFFFF" w:val="clear"/>
            <w:vAlign w:val="center"/>
          </w:tcPr>
          <w:p>
            <w:pPr>
              <w:pStyle w:val="TableContents"/>
              <w:bidi w:val="0"/>
              <w:spacing w:before="0" w:after="283"/>
              <w:jc w:val="left"/>
              <w:rPr/>
            </w:pPr>
            <w:r>
              <w:rPr/>
              <w:t>)</w:t>
            </w:r>
          </w:p>
        </w:tc>
      </w:tr>
      <w:tr>
        <w:trPr/>
        <w:tc>
          <w:tcPr>
            <w:tcW w:w="4038" w:type="dxa"/>
            <w:tcBorders/>
            <w:shd w:fill="CCEEFF" w:val="clear"/>
            <w:vAlign w:val="center"/>
          </w:tcPr>
          <w:p>
            <w:pPr>
              <w:pStyle w:val="TableContents"/>
              <w:bidi w:val="0"/>
              <w:spacing w:before="0" w:after="283"/>
              <w:jc w:val="left"/>
              <w:rPr/>
            </w:pPr>
            <w:r>
              <w:rPr/>
              <w:t>Gains (loss) from extinguishment of debt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(5,728,295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(5,728,295</w:t>
            </w:r>
          </w:p>
        </w:tc>
        <w:tc>
          <w:tcPr>
            <w:tcW w:w="119" w:type="dxa"/>
            <w:tcBorders/>
            <w:shd w:fill="CCEEFF" w:val="clear"/>
            <w:vAlign w:val="center"/>
          </w:tcPr>
          <w:p>
            <w:pPr>
              <w:pStyle w:val="TableContents"/>
              <w:bidi w:val="0"/>
              <w:spacing w:before="0" w:after="283"/>
              <w:jc w:val="left"/>
              <w:rPr/>
            </w:pPr>
            <w:r>
              <w:rPr/>
              <w:t>)</w:t>
            </w:r>
          </w:p>
        </w:tc>
      </w:tr>
      <w:tr>
        <w:trPr/>
        <w:tc>
          <w:tcPr>
            <w:tcW w:w="4038" w:type="dxa"/>
            <w:tcBorders/>
            <w:shd w:fill="FFFFFF" w:val="clear"/>
            <w:vAlign w:val="center"/>
          </w:tcPr>
          <w:p>
            <w:pPr>
              <w:pStyle w:val="TableContents"/>
              <w:bidi w:val="0"/>
              <w:spacing w:before="0" w:after="283"/>
              <w:jc w:val="left"/>
              <w:rPr/>
            </w:pPr>
            <w:r>
              <w:rPr/>
              <w:t>Gain (loss) on issuance of shares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FFFFFF" w:val="clear"/>
            <w:tcMar>
              <w:bottom w:w="28" w:type="dxa"/>
            </w:tcMar>
            <w:vAlign w:val="center"/>
          </w:tcPr>
          <w:p>
            <w:pPr>
              <w:pStyle w:val="TableContents"/>
              <w:bidi w:val="0"/>
              <w:spacing w:before="0" w:after="283"/>
              <w:jc w:val="right"/>
              <w:rPr/>
            </w:pPr>
            <w:r>
              <w:rPr/>
              <w:t>20,658</w:t>
            </w:r>
          </w:p>
        </w:tc>
        <w:tc>
          <w:tcPr>
            <w:tcW w:w="108" w:type="dxa"/>
            <w:tcBorders/>
            <w:shd w:fill="FFFFFF" w:val="clear"/>
            <w:vAlign w:val="center"/>
          </w:tcPr>
          <w:p>
            <w:pPr>
              <w:pStyle w:val="TableContents"/>
              <w:bidi w:val="0"/>
              <w:spacing w:before="0" w:after="283"/>
              <w:jc w:val="left"/>
              <w:rPr>
                <w:sz w:val="4"/>
                <w:szCs w:val="4"/>
              </w:rPr>
            </w:pPr>
            <w:r>
              <w:rPr>
                <w:sz w:val="4"/>
                <w:szCs w:val="4"/>
              </w:rPr>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FFFFFF" w:val="clear"/>
            <w:tcMar>
              <w:bottom w:w="28" w:type="dxa"/>
            </w:tcMar>
            <w:vAlign w:val="center"/>
          </w:tcPr>
          <w:p>
            <w:pPr>
              <w:pStyle w:val="TableContents"/>
              <w:bidi w:val="0"/>
              <w:spacing w:before="0" w:after="283"/>
              <w:jc w:val="right"/>
              <w:rPr/>
            </w:pPr>
            <w:r>
              <w:rPr/>
              <w:t>19,402</w:t>
            </w:r>
          </w:p>
        </w:tc>
        <w:tc>
          <w:tcPr>
            <w:tcW w:w="98" w:type="dxa"/>
            <w:tcBorders/>
            <w:shd w:fill="FFFFFF" w:val="clear"/>
            <w:vAlign w:val="center"/>
          </w:tcPr>
          <w:p>
            <w:pPr>
              <w:pStyle w:val="TableContents"/>
              <w:bidi w:val="0"/>
              <w:spacing w:before="0" w:after="283"/>
              <w:jc w:val="left"/>
              <w:rPr>
                <w:sz w:val="4"/>
                <w:szCs w:val="4"/>
              </w:rPr>
            </w:pPr>
            <w:r>
              <w:rPr>
                <w:sz w:val="4"/>
                <w:szCs w:val="4"/>
              </w:rPr>
            </w:r>
          </w:p>
        </w:tc>
        <w:tc>
          <w:tcPr>
            <w:tcW w:w="61"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r>
      <w:tr>
        <w:trPr/>
        <w:tc>
          <w:tcPr>
            <w:tcW w:w="4038" w:type="dxa"/>
            <w:tcBorders/>
            <w:shd w:fill="CCEEFF" w:val="clear"/>
            <w:vAlign w:val="center"/>
          </w:tcPr>
          <w:p>
            <w:pPr>
              <w:pStyle w:val="TableContents"/>
              <w:bidi w:val="0"/>
              <w:spacing w:before="0" w:after="283"/>
              <w:jc w:val="left"/>
              <w:rPr/>
            </w:pPr>
            <w:r>
              <w:rPr/>
              <w:t>Total other expenses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(741,144</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CCEEFF" w:val="clear"/>
            <w:tcMar>
              <w:bottom w:w="28" w:type="dxa"/>
            </w:tcMar>
            <w:vAlign w:val="center"/>
          </w:tcPr>
          <w:p>
            <w:pPr>
              <w:pStyle w:val="TableContents"/>
              <w:bidi w:val="0"/>
              <w:spacing w:before="0" w:after="283"/>
              <w:jc w:val="right"/>
              <w:rPr/>
            </w:pPr>
            <w:r>
              <w:rPr/>
              <w:t>(26,603,359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(1,107,653</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(26,151,656</w:t>
            </w:r>
          </w:p>
        </w:tc>
        <w:tc>
          <w:tcPr>
            <w:tcW w:w="119" w:type="dxa"/>
            <w:tcBorders/>
            <w:shd w:fill="CCEEFF" w:val="clear"/>
            <w:vAlign w:val="center"/>
          </w:tcPr>
          <w:p>
            <w:pPr>
              <w:pStyle w:val="TableContents"/>
              <w:bidi w:val="0"/>
              <w:spacing w:before="0" w:after="283"/>
              <w:jc w:val="left"/>
              <w:rPr/>
            </w:pPr>
            <w:r>
              <w:rPr/>
              <w:t>)</w:t>
            </w:r>
          </w:p>
        </w:tc>
      </w:tr>
      <w:tr>
        <w:trPr/>
        <w:tc>
          <w:tcPr>
            <w:tcW w:w="4038"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FFFFFF" w:val="clear"/>
            <w:tcMar>
              <w:bottom w:w="28" w:type="dxa"/>
            </w:tcMar>
            <w:vAlign w:val="center"/>
          </w:tcPr>
          <w:p>
            <w:pPr>
              <w:pStyle w:val="TableContents"/>
              <w:bidi w:val="0"/>
              <w:spacing w:before="0" w:after="283"/>
              <w:jc w:val="right"/>
              <w:rPr/>
            </w:pPr>
            <w:r>
              <w:rPr/>
              <w:t>(3,770,873</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FFFFFF" w:val="clear"/>
            <w:tcMar>
              <w:bottom w:w="28" w:type="dxa"/>
            </w:tcMar>
            <w:vAlign w:val="center"/>
          </w:tcPr>
          <w:p>
            <w:pPr>
              <w:pStyle w:val="TableContents"/>
              <w:bidi w:val="0"/>
              <w:spacing w:before="0" w:after="283"/>
              <w:jc w:val="right"/>
              <w:rPr/>
            </w:pPr>
            <w:r>
              <w:rPr/>
              <w:t>(28,859,203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FFFFFF" w:val="clear"/>
            <w:tcMar>
              <w:bottom w:w="28" w:type="dxa"/>
            </w:tcMar>
            <w:vAlign w:val="center"/>
          </w:tcPr>
          <w:p>
            <w:pPr>
              <w:pStyle w:val="TableContents"/>
              <w:bidi w:val="0"/>
              <w:spacing w:before="0" w:after="283"/>
              <w:jc w:val="right"/>
              <w:rPr/>
            </w:pPr>
            <w:r>
              <w:rPr/>
              <w:t>(8,236,041</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pPr>
            <w:r>
              <w:rPr/>
              <w:t>(30,143,761</w:t>
            </w:r>
          </w:p>
        </w:tc>
        <w:tc>
          <w:tcPr>
            <w:tcW w:w="119" w:type="dxa"/>
            <w:tcBorders/>
            <w:shd w:fill="FFFFFF" w:val="clear"/>
            <w:vAlign w:val="center"/>
          </w:tcPr>
          <w:p>
            <w:pPr>
              <w:pStyle w:val="TableContents"/>
              <w:bidi w:val="0"/>
              <w:spacing w:before="0" w:after="283"/>
              <w:jc w:val="left"/>
              <w:rPr/>
            </w:pPr>
            <w:r>
              <w:rPr/>
              <w:t>)</w:t>
            </w:r>
          </w:p>
        </w:tc>
      </w:tr>
      <w:tr>
        <w:trPr/>
        <w:tc>
          <w:tcPr>
            <w:tcW w:w="4038"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r>
      <w:tr>
        <w:trPr/>
        <w:tc>
          <w:tcPr>
            <w:tcW w:w="403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shd w:fill="FFFFFF" w:val="clear"/>
            <w:tcMar>
              <w:bottom w:w="28" w:type="dxa"/>
            </w:tcMar>
            <w:vAlign w:val="center"/>
          </w:tcPr>
          <w:p>
            <w:pPr>
              <w:pStyle w:val="TableContents"/>
              <w:bidi w:val="0"/>
              <w:spacing w:before="0" w:after="283"/>
              <w:jc w:val="right"/>
              <w:rPr/>
            </w:pPr>
            <w:r>
              <w:rPr/>
              <w:t>(3,770,873</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52" w:type="dxa"/>
            <w:tcBorders>
              <w:bottom w:val="double" w:sz="10" w:space="0" w:color="000000"/>
            </w:tcBorders>
            <w:shd w:fill="FFFFFF" w:val="clear"/>
            <w:tcMar>
              <w:bottom w:w="28" w:type="dxa"/>
            </w:tcMar>
            <w:vAlign w:val="center"/>
          </w:tcPr>
          <w:p>
            <w:pPr>
              <w:pStyle w:val="TableContents"/>
              <w:bidi w:val="0"/>
              <w:spacing w:before="0" w:after="283"/>
              <w:jc w:val="right"/>
              <w:rPr/>
            </w:pPr>
            <w:r>
              <w:rPr/>
              <w:t>(28,859,203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98" w:type="dxa"/>
            <w:tcBorders>
              <w:bottom w:val="double" w:sz="10" w:space="0" w:color="000000"/>
            </w:tcBorders>
            <w:shd w:fill="FFFFFF" w:val="clear"/>
            <w:tcMar>
              <w:bottom w:w="28" w:type="dxa"/>
            </w:tcMar>
            <w:vAlign w:val="center"/>
          </w:tcPr>
          <w:p>
            <w:pPr>
              <w:pStyle w:val="TableContents"/>
              <w:bidi w:val="0"/>
              <w:spacing w:before="0" w:after="283"/>
              <w:jc w:val="right"/>
              <w:rPr/>
            </w:pPr>
            <w:r>
              <w:rPr/>
              <w:t>(8,236,041</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3" w:type="dxa"/>
            <w:tcBorders>
              <w:bottom w:val="double" w:sz="10" w:space="0" w:color="000000"/>
            </w:tcBorders>
            <w:shd w:fill="FFFFFF" w:val="clear"/>
            <w:tcMar>
              <w:bottom w:w="28" w:type="dxa"/>
            </w:tcMar>
            <w:vAlign w:val="center"/>
          </w:tcPr>
          <w:p>
            <w:pPr>
              <w:pStyle w:val="TableContents"/>
              <w:bidi w:val="0"/>
              <w:spacing w:before="0" w:after="283"/>
              <w:jc w:val="right"/>
              <w:rPr/>
            </w:pPr>
            <w:r>
              <w:rPr/>
              <w:t>(30,143,761</w:t>
            </w:r>
          </w:p>
        </w:tc>
        <w:tc>
          <w:tcPr>
            <w:tcW w:w="119" w:type="dxa"/>
            <w:tcBorders/>
            <w:shd w:fill="FFFFFF" w:val="clear"/>
            <w:vAlign w:val="center"/>
          </w:tcPr>
          <w:p>
            <w:pPr>
              <w:pStyle w:val="TableContents"/>
              <w:bidi w:val="0"/>
              <w:spacing w:before="0" w:after="283"/>
              <w:jc w:val="left"/>
              <w:rPr/>
            </w:pPr>
            <w:r>
              <w:rPr/>
              <w:t>)</w:t>
            </w:r>
          </w:p>
        </w:tc>
      </w:tr>
      <w:tr>
        <w:trPr/>
        <w:tc>
          <w:tcPr>
            <w:tcW w:w="40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038" w:type="dxa"/>
            <w:tcBorders/>
            <w:shd w:fill="FFFFFF" w:val="clear"/>
            <w:vAlign w:val="center"/>
          </w:tcPr>
          <w:p>
            <w:pPr>
              <w:pStyle w:val="TableContents"/>
              <w:bidi w:val="0"/>
              <w:spacing w:before="0" w:after="283"/>
              <w:jc w:val="left"/>
              <w:rPr/>
            </w:pPr>
            <w:r>
              <w:rPr/>
              <w:t>Net loss per share (a)</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r>
      <w:tr>
        <w:trPr/>
        <w:tc>
          <w:tcPr>
            <w:tcW w:w="4038" w:type="dxa"/>
            <w:tcBorders/>
            <w:shd w:fill="CCEEFF" w:val="clear"/>
            <w:vAlign w:val="center"/>
          </w:tcPr>
          <w:p>
            <w:pPr>
              <w:pStyle w:val="TableContents"/>
              <w:bidi w:val="0"/>
              <w:spacing w:before="0" w:after="283"/>
              <w:jc w:val="left"/>
              <w:rPr/>
            </w:pPr>
            <w:r>
              <w:rPr/>
              <w:t>Basic and diluted (a)</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(2.68</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352" w:type="dxa"/>
            <w:tcBorders/>
            <w:shd w:fill="CCEEFF" w:val="clear"/>
            <w:vAlign w:val="center"/>
          </w:tcPr>
          <w:p>
            <w:pPr>
              <w:pStyle w:val="TableContents"/>
              <w:bidi w:val="0"/>
              <w:spacing w:before="0" w:after="283"/>
              <w:jc w:val="right"/>
              <w:rPr/>
            </w:pPr>
            <w:r>
              <w:rPr/>
              <w:t>(50.05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98" w:type="dxa"/>
            <w:tcBorders/>
            <w:shd w:fill="CCEEFF" w:val="clear"/>
            <w:vAlign w:val="center"/>
          </w:tcPr>
          <w:p>
            <w:pPr>
              <w:pStyle w:val="TableContents"/>
              <w:bidi w:val="0"/>
              <w:spacing w:before="0" w:after="283"/>
              <w:jc w:val="right"/>
              <w:rPr/>
            </w:pPr>
            <w:r>
              <w:rPr/>
              <w:t>(6.37</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(56.58</w:t>
            </w:r>
          </w:p>
        </w:tc>
        <w:tc>
          <w:tcPr>
            <w:tcW w:w="119" w:type="dxa"/>
            <w:tcBorders/>
            <w:shd w:fill="CCEEFF" w:val="clear"/>
            <w:vAlign w:val="center"/>
          </w:tcPr>
          <w:p>
            <w:pPr>
              <w:pStyle w:val="TableContents"/>
              <w:bidi w:val="0"/>
              <w:spacing w:before="0" w:after="283"/>
              <w:jc w:val="left"/>
              <w:rPr/>
            </w:pPr>
            <w:r>
              <w:rPr/>
              <w:t>)</w:t>
            </w:r>
          </w:p>
        </w:tc>
      </w:tr>
      <w:tr>
        <w:trPr/>
        <w:tc>
          <w:tcPr>
            <w:tcW w:w="4038" w:type="dxa"/>
            <w:tcBorders/>
            <w:shd w:fill="FFFFFF" w:val="clear"/>
            <w:vAlign w:val="center"/>
          </w:tcPr>
          <w:p>
            <w:pPr>
              <w:pStyle w:val="TableContents"/>
              <w:bidi w:val="0"/>
              <w:spacing w:before="0" w:after="283"/>
              <w:jc w:val="left"/>
              <w:rPr/>
            </w:pPr>
            <w:r>
              <w:rPr/>
              <w:t>Weighted average number of shares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r>
      <w:tr>
        <w:trPr/>
        <w:tc>
          <w:tcPr>
            <w:tcW w:w="4038"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1,405,120</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576,579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1,292,050</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532,747</w:t>
            </w:r>
          </w:p>
        </w:tc>
        <w:tc>
          <w:tcPr>
            <w:tcW w:w="11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(a)</w:t>
            </w:r>
          </w:p>
        </w:tc>
        <w:tc>
          <w:tcPr>
            <w:tcW w:w="9925" w:type="dxa"/>
            <w:tcBorders/>
            <w:vAlign w:val="center"/>
          </w:tcPr>
          <w:p>
            <w:pPr>
              <w:pStyle w:val="TableContents"/>
              <w:bidi w:val="0"/>
              <w:spacing w:before="0" w:after="283"/>
              <w:jc w:val="both"/>
              <w:rPr/>
            </w:pPr>
            <w:r>
              <w:rPr/>
              <w:t>All share and per share information have been adjusted to reflect a 1-for-25 reverse stock split effective May 29,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6" w:name="a_005"/>
      <w:bookmarkEnd w:id="6"/>
      <w:r>
        <w:rPr>
          <w:rFonts w:ascii="Times New Roman;Times;Serif" w:hAnsi="Times New Roman;Times;Serif"/>
          <w:b/>
          <w:i w:val="false"/>
          <w:caps w:val="false"/>
          <w:smallCaps w:val="false"/>
          <w:sz w:val="20"/>
        </w:rPr>
        <w:t>CONDENSED CONSOLIDATED STATEMENTS OF SHAREHOLDERS’ EQUITY (DEFICIT)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03"/>
        <w:gridCol w:w="60"/>
        <w:gridCol w:w="67"/>
        <w:gridCol w:w="1118"/>
        <w:gridCol w:w="67"/>
        <w:gridCol w:w="67"/>
        <w:gridCol w:w="231"/>
        <w:gridCol w:w="629"/>
        <w:gridCol w:w="60"/>
        <w:gridCol w:w="60"/>
        <w:gridCol w:w="140"/>
        <w:gridCol w:w="1100"/>
        <w:gridCol w:w="60"/>
        <w:gridCol w:w="60"/>
        <w:gridCol w:w="145"/>
        <w:gridCol w:w="1225"/>
        <w:gridCol w:w="95"/>
        <w:gridCol w:w="60"/>
        <w:gridCol w:w="169"/>
        <w:gridCol w:w="1276"/>
        <w:gridCol w:w="113"/>
      </w:tblGrid>
      <w:tr>
        <w:trPr/>
        <w:tc>
          <w:tcPr>
            <w:tcW w:w="340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185" w:type="dxa"/>
            <w:gridSpan w:val="2"/>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0" w:type="dxa"/>
            <w:gridSpan w:val="6"/>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ind w:left="0" w:right="0" w:hanging="180"/>
              <w:jc w:val="left"/>
              <w:rPr/>
            </w:pPr>
            <w:r>
              <w:rPr/>
              <w:t> </w:t>
            </w:r>
          </w:p>
        </w:tc>
      </w:tr>
      <w:tr>
        <w:trPr/>
        <w:tc>
          <w:tcPr>
            <w:tcW w:w="34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Shareholders’</w:t>
              <w:br/>
              <w:t>Equity</w:t>
            </w:r>
          </w:p>
        </w:tc>
        <w:tc>
          <w:tcPr>
            <w:tcW w:w="113" w:type="dxa"/>
            <w:tcBorders/>
            <w:vAlign w:val="center"/>
          </w:tcPr>
          <w:p>
            <w:pPr>
              <w:pStyle w:val="TableContents"/>
              <w:bidi w:val="0"/>
              <w:spacing w:before="0" w:after="283"/>
              <w:ind w:left="0" w:right="0" w:hanging="180"/>
              <w:jc w:val="left"/>
              <w:rPr/>
            </w:pPr>
            <w:r>
              <w:rPr/>
              <w:t> </w:t>
            </w:r>
          </w:p>
        </w:tc>
      </w:tr>
      <w:tr>
        <w:trPr/>
        <w:tc>
          <w:tcPr>
            <w:tcW w:w="3403" w:type="dxa"/>
            <w:tcBorders>
              <w:bottom w:val="single" w:sz="12" w:space="0" w:color="000000"/>
            </w:tcBorders>
            <w:tcMar>
              <w:bottom w:w="30" w:type="dxa"/>
            </w:tcMar>
            <w:vAlign w:val="center"/>
          </w:tcPr>
          <w:p>
            <w:pPr>
              <w:pStyle w:val="TableContents"/>
              <w:bidi w:val="0"/>
              <w:spacing w:before="0" w:after="283"/>
              <w:jc w:val="left"/>
              <w:rPr>
                <w:b/>
              </w:rPr>
            </w:pPr>
            <w:r>
              <w:rPr>
                <w:b/>
              </w:rPr>
              <w:t>Six Months Ended June 30, 2026</w:t>
            </w:r>
          </w:p>
        </w:tc>
        <w:tc>
          <w:tcPr>
            <w:tcW w:w="60" w:type="dxa"/>
            <w:tcBorders/>
            <w:vAlign w:val="center"/>
          </w:tcPr>
          <w:p>
            <w:pPr>
              <w:pStyle w:val="TableContents"/>
              <w:bidi w:val="0"/>
              <w:spacing w:before="0" w:after="283"/>
              <w:jc w:val="left"/>
              <w:rPr/>
            </w:pPr>
            <w:r>
              <w:rPr/>
              <w:t> </w:t>
            </w:r>
          </w:p>
        </w:tc>
        <w:tc>
          <w:tcPr>
            <w:tcW w:w="11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3" w:type="dxa"/>
            <w:tcBorders/>
            <w:vAlign w:val="center"/>
          </w:tcPr>
          <w:p>
            <w:pPr>
              <w:pStyle w:val="TableContents"/>
              <w:bidi w:val="0"/>
              <w:spacing w:before="0" w:after="283"/>
              <w:ind w:left="0" w:right="0" w:hanging="180"/>
              <w:jc w:val="left"/>
              <w:rPr/>
            </w:pPr>
            <w:r>
              <w:rPr/>
              <w:t> </w:t>
            </w:r>
          </w:p>
        </w:tc>
      </w:tr>
      <w:tr>
        <w:trPr/>
        <w:tc>
          <w:tcPr>
            <w:tcW w:w="3403" w:type="dxa"/>
            <w:tcBorders/>
            <w:shd w:fill="CCEEFF" w:val="clear"/>
            <w:vAlign w:val="center"/>
          </w:tcPr>
          <w:p>
            <w:pPr>
              <w:pStyle w:val="TableContents"/>
              <w:bidi w:val="0"/>
              <w:spacing w:before="0" w:after="283"/>
              <w:jc w:val="left"/>
              <w:rPr/>
            </w:pPr>
            <w:r>
              <w:rPr/>
              <w:t>Balances as of December 31, 2025</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1,170,933</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61,690,683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(61,451,334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1276" w:type="dxa"/>
            <w:tcBorders/>
            <w:shd w:fill="CCEEFF" w:val="clear"/>
            <w:vAlign w:val="center"/>
          </w:tcPr>
          <w:p>
            <w:pPr>
              <w:pStyle w:val="TableContents"/>
              <w:bidi w:val="0"/>
              <w:spacing w:before="0" w:after="283"/>
              <w:jc w:val="right"/>
              <w:rPr/>
            </w:pPr>
            <w:r>
              <w:rPr/>
              <w:t>239,466</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3403"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1,753</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3403" w:type="dxa"/>
            <w:tcBorders/>
            <w:shd w:fill="CCEEFF" w:val="clear"/>
            <w:vAlign w:val="center"/>
          </w:tcPr>
          <w:p>
            <w:pPr>
              <w:pStyle w:val="TableContents"/>
              <w:bidi w:val="0"/>
              <w:spacing w:before="0" w:after="283"/>
              <w:jc w:val="left"/>
              <w:rPr/>
            </w:pPr>
            <w:r>
              <w:rPr/>
              <w:t>Share issuance for services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13,598</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124,999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125,000</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3403" w:type="dxa"/>
            <w:tcBorders/>
            <w:shd w:fill="FFFFFF" w:val="clear"/>
            <w:vAlign w:val="center"/>
          </w:tcPr>
          <w:p>
            <w:pPr>
              <w:pStyle w:val="TableContents"/>
              <w:bidi w:val="0"/>
              <w:spacing w:before="0" w:after="283"/>
              <w:jc w:val="left"/>
              <w:rPr/>
            </w:pPr>
            <w:r>
              <w:rPr/>
              <w:t>Share issuance for cash</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800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6,420</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340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(4,465,168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pPr>
            <w:r>
              <w:rPr/>
              <w:t>(4,465,168</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3403" w:type="dxa"/>
            <w:tcBorders/>
            <w:shd w:fill="FFFFFF" w:val="clear"/>
            <w:vAlign w:val="center"/>
          </w:tcPr>
          <w:p>
            <w:pPr>
              <w:pStyle w:val="TableContents"/>
              <w:bidi w:val="0"/>
              <w:spacing w:before="0" w:after="283"/>
              <w:jc w:val="left"/>
              <w:rPr/>
            </w:pPr>
            <w:r>
              <w:rPr/>
              <w:t>Balances as of March 31, 2026</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double" w:sz="10" w:space="0" w:color="000000"/>
            </w:tcBorders>
            <w:shd w:fill="FFFFFF" w:val="clear"/>
            <w:tcMar>
              <w:bottom w:w="28" w:type="dxa"/>
            </w:tcMar>
            <w:vAlign w:val="center"/>
          </w:tcPr>
          <w:p>
            <w:pPr>
              <w:pStyle w:val="TableContents"/>
              <w:bidi w:val="0"/>
              <w:spacing w:before="0" w:after="283"/>
              <w:jc w:val="right"/>
              <w:rPr/>
            </w:pPr>
            <w:r>
              <w:rPr/>
              <w:t>1,185,331</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10" w:space="0" w:color="000000"/>
            </w:tcBorders>
            <w:shd w:fill="FFFFFF" w:val="clear"/>
            <w:tcMar>
              <w:bottom w:w="28" w:type="dxa"/>
            </w:tcMar>
            <w:vAlign w:val="center"/>
          </w:tcPr>
          <w:p>
            <w:pPr>
              <w:pStyle w:val="TableContents"/>
              <w:bidi w:val="0"/>
              <w:spacing w:before="0" w:after="283"/>
              <w:jc w:val="right"/>
              <w:rPr/>
            </w:pPr>
            <w:r>
              <w:rPr/>
              <w:t>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61,823,855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pPr>
            <w:r>
              <w:rPr/>
              <w:t>(65,916,502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76" w:type="dxa"/>
            <w:tcBorders>
              <w:bottom w:val="double" w:sz="10" w:space="0" w:color="000000"/>
            </w:tcBorders>
            <w:shd w:fill="FFFFFF" w:val="clear"/>
            <w:tcMar>
              <w:bottom w:w="28" w:type="dxa"/>
            </w:tcMar>
            <w:vAlign w:val="center"/>
          </w:tcPr>
          <w:p>
            <w:pPr>
              <w:pStyle w:val="TableContents"/>
              <w:bidi w:val="0"/>
              <w:spacing w:before="0" w:after="283"/>
              <w:jc w:val="right"/>
              <w:rPr/>
            </w:pPr>
            <w:r>
              <w:rPr/>
              <w:t>(4,092,529</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3403"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1,611</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3403" w:type="dxa"/>
            <w:tcBorders/>
            <w:shd w:fill="FFFFFF" w:val="clear"/>
            <w:vAlign w:val="center"/>
          </w:tcPr>
          <w:p>
            <w:pPr>
              <w:pStyle w:val="TableContents"/>
              <w:bidi w:val="0"/>
              <w:spacing w:before="0" w:after="283"/>
              <w:jc w:val="left"/>
              <w:rPr/>
            </w:pPr>
            <w:r>
              <w:rPr/>
              <w:t>Share issuance for cash</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329,898</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640,159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640,192</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3403" w:type="dxa"/>
            <w:tcBorders/>
            <w:shd w:fill="CCEEFF" w:val="clear"/>
            <w:vAlign w:val="center"/>
          </w:tcPr>
          <w:p>
            <w:pPr>
              <w:pStyle w:val="TableContents"/>
              <w:bidi w:val="0"/>
              <w:spacing w:before="0" w:after="283"/>
              <w:jc w:val="left"/>
              <w:rPr/>
            </w:pPr>
            <w:r>
              <w:rPr/>
              <w:t>Share issuance for debt conversion</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360,165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895,119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895,155</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3403" w:type="dxa"/>
            <w:tcBorders/>
            <w:shd w:fill="FFFFFF" w:val="clear"/>
            <w:vAlign w:val="center"/>
          </w:tcPr>
          <w:p>
            <w:pPr>
              <w:pStyle w:val="TableContents"/>
              <w:bidi w:val="0"/>
              <w:spacing w:before="0" w:after="283"/>
              <w:jc w:val="left"/>
              <w:rPr/>
            </w:pPr>
            <w:r>
              <w:rPr/>
              <w:t>Share issuance for warrant exercises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65,596</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158,736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158,743</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3403" w:type="dxa"/>
            <w:tcBorders/>
            <w:shd w:fill="CCEEFF" w:val="clear"/>
            <w:vAlign w:val="center"/>
          </w:tcPr>
          <w:p>
            <w:pPr>
              <w:pStyle w:val="TableContents"/>
              <w:bidi w:val="0"/>
              <w:spacing w:before="0" w:after="283"/>
              <w:jc w:val="left"/>
              <w:rPr/>
            </w:pPr>
            <w:r>
              <w:rPr/>
              <w:t>Share purchase commitment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25,052</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119,997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120,000</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3403"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(3,770,873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FFFFFF" w:val="clear"/>
            <w:tcMar>
              <w:bottom w:w="28" w:type="dxa"/>
            </w:tcMar>
            <w:vAlign w:val="center"/>
          </w:tcPr>
          <w:p>
            <w:pPr>
              <w:pStyle w:val="TableContents"/>
              <w:bidi w:val="0"/>
              <w:spacing w:before="0" w:after="283"/>
              <w:jc w:val="right"/>
              <w:rPr/>
            </w:pPr>
            <w:r>
              <w:rPr/>
              <w:t>(3,770,873</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3403" w:type="dxa"/>
            <w:tcBorders/>
            <w:shd w:fill="CCEEFF" w:val="clear"/>
            <w:vAlign w:val="center"/>
          </w:tcPr>
          <w:p>
            <w:pPr>
              <w:pStyle w:val="TableContents"/>
              <w:bidi w:val="0"/>
              <w:spacing w:before="0" w:after="283"/>
              <w:jc w:val="left"/>
              <w:rPr/>
            </w:pPr>
            <w:r>
              <w:rPr/>
              <w:t>Balances as of June 30, 2026</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double" w:sz="10" w:space="0" w:color="000000"/>
            </w:tcBorders>
            <w:shd w:fill="CCEEFF" w:val="clear"/>
            <w:tcMar>
              <w:bottom w:w="28" w:type="dxa"/>
            </w:tcMar>
            <w:vAlign w:val="center"/>
          </w:tcPr>
          <w:p>
            <w:pPr>
              <w:pStyle w:val="TableContents"/>
              <w:bidi w:val="0"/>
              <w:spacing w:before="0" w:after="283"/>
              <w:jc w:val="right"/>
              <w:rPr/>
            </w:pPr>
            <w:r>
              <w:rPr/>
              <w:t>1,966,042</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10" w:space="0" w:color="000000"/>
            </w:tcBorders>
            <w:shd w:fill="CCEEFF" w:val="clear"/>
            <w:tcMar>
              <w:bottom w:w="28" w:type="dxa"/>
            </w:tcMar>
            <w:vAlign w:val="center"/>
          </w:tcPr>
          <w:p>
            <w:pPr>
              <w:pStyle w:val="TableContents"/>
              <w:bidi w:val="0"/>
              <w:spacing w:before="0" w:after="283"/>
              <w:jc w:val="right"/>
              <w:rPr/>
            </w:pPr>
            <w:r>
              <w:rPr/>
              <w:t>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63,639,477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pPr>
            <w:r>
              <w:rPr/>
              <w:t>(69,687,375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6" w:type="dxa"/>
            <w:tcBorders>
              <w:bottom w:val="double" w:sz="10" w:space="0" w:color="000000"/>
            </w:tcBorders>
            <w:shd w:fill="CCEEFF" w:val="clear"/>
            <w:tcMar>
              <w:bottom w:w="28" w:type="dxa"/>
            </w:tcMar>
            <w:vAlign w:val="center"/>
          </w:tcPr>
          <w:p>
            <w:pPr>
              <w:pStyle w:val="TableContents"/>
              <w:bidi w:val="0"/>
              <w:spacing w:before="0" w:after="283"/>
              <w:jc w:val="right"/>
              <w:rPr/>
            </w:pPr>
            <w:r>
              <w:rPr/>
              <w:t>(6,047,701</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745" w:type="dxa"/>
        <w:jc w:val="left"/>
        <w:tblInd w:w="0" w:type="dxa"/>
        <w:tblLayout w:type="fixed"/>
        <w:tblCellMar>
          <w:top w:w="0" w:type="dxa"/>
          <w:left w:w="0" w:type="dxa"/>
          <w:bottom w:w="0" w:type="dxa"/>
          <w:right w:w="0" w:type="dxa"/>
        </w:tblCellMar>
      </w:tblPr>
      <w:tblGrid>
        <w:gridCol w:w="1460"/>
        <w:gridCol w:w="60"/>
        <w:gridCol w:w="60"/>
        <w:gridCol w:w="1295"/>
        <w:gridCol w:w="95"/>
        <w:gridCol w:w="60"/>
        <w:gridCol w:w="140"/>
        <w:gridCol w:w="875"/>
        <w:gridCol w:w="95"/>
        <w:gridCol w:w="60"/>
        <w:gridCol w:w="60"/>
        <w:gridCol w:w="980"/>
        <w:gridCol w:w="60"/>
        <w:gridCol w:w="60"/>
        <w:gridCol w:w="231"/>
        <w:gridCol w:w="629"/>
        <w:gridCol w:w="60"/>
        <w:gridCol w:w="60"/>
        <w:gridCol w:w="140"/>
        <w:gridCol w:w="1100"/>
        <w:gridCol w:w="60"/>
        <w:gridCol w:w="60"/>
        <w:gridCol w:w="145"/>
        <w:gridCol w:w="1225"/>
        <w:gridCol w:w="95"/>
        <w:gridCol w:w="60"/>
        <w:gridCol w:w="153"/>
        <w:gridCol w:w="1292"/>
        <w:gridCol w:w="75"/>
      </w:tblGrid>
      <w:tr>
        <w:trPr/>
        <w:tc>
          <w:tcPr>
            <w:tcW w:w="146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0" w:type="dxa"/>
            <w:gridSpan w:val="6"/>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Legacy Common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Shareholders’</w:t>
              <w:br/>
              <w:t>Equity</w:t>
            </w:r>
          </w:p>
        </w:tc>
        <w:tc>
          <w:tcPr>
            <w:tcW w:w="75" w:type="dxa"/>
            <w:tcBorders/>
            <w:vAlign w:val="center"/>
          </w:tcPr>
          <w:p>
            <w:pPr>
              <w:pStyle w:val="TableContents"/>
              <w:bidi w:val="0"/>
              <w:spacing w:before="0" w:after="283"/>
              <w:ind w:left="0" w:right="0" w:hanging="0"/>
              <w:jc w:val="left"/>
              <w:rPr/>
            </w:pPr>
            <w:r>
              <w:rPr/>
              <w:t> </w:t>
            </w:r>
          </w:p>
        </w:tc>
      </w:tr>
      <w:tr>
        <w:trPr/>
        <w:tc>
          <w:tcPr>
            <w:tcW w:w="1460" w:type="dxa"/>
            <w:tcBorders>
              <w:bottom w:val="single" w:sz="12" w:space="0" w:color="000000"/>
            </w:tcBorders>
            <w:tcMar>
              <w:bottom w:w="30" w:type="dxa"/>
            </w:tcMar>
            <w:vAlign w:val="center"/>
          </w:tcPr>
          <w:p>
            <w:pPr>
              <w:pStyle w:val="TableContents"/>
              <w:bidi w:val="0"/>
              <w:spacing w:before="0" w:after="283"/>
              <w:jc w:val="left"/>
              <w:rPr>
                <w:b/>
              </w:rPr>
            </w:pPr>
            <w:r>
              <w:rPr>
                <w:b/>
              </w:rPr>
              <w:t>Six Months Ended June 30, 2025</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75"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Balances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108,975,000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108,975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330,366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(24,733,263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(24,293,922</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pPr>
            <w:r>
              <w:rPr/>
              <w:t>Retroactive application of recapitalization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(108,975,000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(108,975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488,429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108,926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Balances as of December 31, 2024, adjusted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488,429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439,292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(24,733,263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shd w:fill="CCEEFF" w:val="clear"/>
            <w:tcMar>
              <w:bottom w:w="28" w:type="dxa"/>
            </w:tcMar>
            <w:vAlign w:val="center"/>
          </w:tcPr>
          <w:p>
            <w:pPr>
              <w:pStyle w:val="TableContents"/>
              <w:bidi w:val="0"/>
              <w:spacing w:before="0" w:after="283"/>
              <w:jc w:val="right"/>
              <w:rPr/>
            </w:pPr>
            <w:r>
              <w:rPr/>
              <w:t>(24,293,922</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10,005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(1,284,558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shd w:fill="CCEEFF" w:val="clear"/>
            <w:tcMar>
              <w:bottom w:w="28" w:type="dxa"/>
            </w:tcMar>
            <w:vAlign w:val="center"/>
          </w:tcPr>
          <w:p>
            <w:pPr>
              <w:pStyle w:val="TableContents"/>
              <w:bidi w:val="0"/>
              <w:spacing w:before="0" w:after="283"/>
              <w:jc w:val="right"/>
              <w:rPr/>
            </w:pPr>
            <w:r>
              <w:rPr/>
              <w:t>(1,284,558</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pPr>
            <w:r>
              <w:rPr/>
              <w:t>Balances as of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488,429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10" w:space="0" w:color="000000"/>
            </w:tcBorders>
            <w:shd w:fill="FFFFFF" w:val="clear"/>
            <w:tcMar>
              <w:bottom w:w="28" w:type="dxa"/>
            </w:tcMar>
            <w:vAlign w:val="center"/>
          </w:tcPr>
          <w:p>
            <w:pPr>
              <w:pStyle w:val="TableContents"/>
              <w:bidi w:val="0"/>
              <w:spacing w:before="0" w:after="283"/>
              <w:jc w:val="right"/>
              <w:rPr/>
            </w:pPr>
            <w:r>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449,297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pPr>
            <w:r>
              <w:rPr/>
              <w:t>(26,017,821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2" w:type="dxa"/>
            <w:tcBorders>
              <w:bottom w:val="double" w:sz="10" w:space="0" w:color="000000"/>
            </w:tcBorders>
            <w:shd w:fill="FFFFFF" w:val="clear"/>
            <w:tcMar>
              <w:bottom w:w="28" w:type="dxa"/>
            </w:tcMar>
            <w:vAlign w:val="center"/>
          </w:tcPr>
          <w:p>
            <w:pPr>
              <w:pStyle w:val="TableContents"/>
              <w:bidi w:val="0"/>
              <w:spacing w:before="0" w:after="283"/>
              <w:jc w:val="right"/>
              <w:rPr/>
            </w:pPr>
            <w:r>
              <w:rPr/>
              <w:t>(25,568,475</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46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9,737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Reverse recapitalization transaction,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617,049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56,157,130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56,157,192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(28,859,203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shd w:fill="CCEEFF" w:val="clear"/>
            <w:tcMar>
              <w:bottom w:w="28" w:type="dxa"/>
            </w:tcMar>
            <w:vAlign w:val="center"/>
          </w:tcPr>
          <w:p>
            <w:pPr>
              <w:pStyle w:val="TableContents"/>
              <w:bidi w:val="0"/>
              <w:spacing w:before="0" w:after="283"/>
              <w:jc w:val="right"/>
              <w:rPr/>
            </w:pPr>
            <w:r>
              <w:rPr/>
              <w:t>(28,859,203</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pPr>
            <w:r>
              <w:rPr/>
              <w:t>Balances as of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1,105,478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10" w:space="0" w:color="000000"/>
            </w:tcBorders>
            <w:shd w:fill="FFFFFF" w:val="clear"/>
            <w:tcMar>
              <w:bottom w:w="28" w:type="dxa"/>
            </w:tcMar>
            <w:vAlign w:val="center"/>
          </w:tcPr>
          <w:p>
            <w:pPr>
              <w:pStyle w:val="TableContents"/>
              <w:bidi w:val="0"/>
              <w:spacing w:before="0" w:after="283"/>
              <w:jc w:val="right"/>
              <w:rPr/>
            </w:pPr>
            <w:r>
              <w:rPr/>
              <w:t>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56,616,164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pPr>
            <w:r>
              <w:rPr/>
              <w:t>(54,877,024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2" w:type="dxa"/>
            <w:tcBorders>
              <w:bottom w:val="double" w:sz="10" w:space="0" w:color="000000"/>
            </w:tcBorders>
            <w:shd w:fill="FFFFFF" w:val="clear"/>
            <w:tcMar>
              <w:bottom w:w="28" w:type="dxa"/>
            </w:tcMar>
            <w:vAlign w:val="center"/>
          </w:tcPr>
          <w:p>
            <w:pPr>
              <w:pStyle w:val="TableContents"/>
              <w:bidi w:val="0"/>
              <w:spacing w:before="0" w:after="283"/>
              <w:jc w:val="right"/>
              <w:rPr/>
            </w:pPr>
            <w:r>
              <w:rPr/>
              <w:t>1,739,251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All Common Stock share and related dollar information as well as Additional paid-in capital have been adjusted to reflect a 1-for-25 reverse stock split effective May 29,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7415" w:type="dxa"/>
        <w:jc w:val="left"/>
        <w:tblInd w:w="0" w:type="dxa"/>
        <w:tblLayout w:type="fixed"/>
        <w:tblCellMar>
          <w:top w:w="0" w:type="dxa"/>
          <w:left w:w="0" w:type="dxa"/>
          <w:bottom w:w="0" w:type="dxa"/>
          <w:right w:w="0" w:type="dxa"/>
        </w:tblCellMar>
      </w:tblPr>
      <w:tblGrid>
        <w:gridCol w:w="5135"/>
        <w:gridCol w:w="60"/>
        <w:gridCol w:w="110"/>
        <w:gridCol w:w="800"/>
        <w:gridCol w:w="155"/>
        <w:gridCol w:w="60"/>
        <w:gridCol w:w="110"/>
        <w:gridCol w:w="890"/>
        <w:gridCol w:w="95"/>
      </w:tblGrid>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5" w:type="dxa"/>
            <w:gridSpan w:val="6"/>
            <w:tcBorders>
              <w:bottom w:val="single" w:sz="12" w:space="0" w:color="000000"/>
            </w:tcBorders>
            <w:tcMar>
              <w:bottom w:w="28" w:type="dxa"/>
            </w:tcMar>
            <w:vAlign w:val="center"/>
          </w:tcPr>
          <w:p>
            <w:pPr>
              <w:pStyle w:val="TableContents"/>
              <w:bidi w:val="0"/>
              <w:spacing w:before="0" w:after="283"/>
              <w:jc w:val="center"/>
              <w:rPr>
                <w:b/>
                <w:sz w:val="18"/>
              </w:rPr>
            </w:pPr>
            <w:r>
              <w:rPr>
                <w:b/>
                <w:sz w:val="18"/>
              </w:rPr>
              <w:t xml:space="preserve">For the Six Months Ended </w:t>
              <w:br/>
              <w:t>June 30,</w:t>
            </w:r>
          </w:p>
        </w:tc>
        <w:tc>
          <w:tcPr>
            <w:tcW w:w="95"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2025</w:t>
            </w:r>
          </w:p>
        </w:tc>
        <w:tc>
          <w:tcPr>
            <w:tcW w:w="95"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sz w:val="18"/>
              </w:rPr>
            </w:pPr>
            <w:r>
              <w:rPr>
                <w:sz w:val="18"/>
              </w:rPr>
              <w:t>OPERATING ACTIVITIES</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sz w:val="18"/>
              </w:rPr>
            </w:pPr>
            <w:r>
              <w:rPr>
                <w:sz w:val="18"/>
              </w:rPr>
              <w:t>Net loss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8"/>
              </w:rPr>
            </w:pPr>
            <w:r>
              <w:rPr>
                <w:sz w:val="18"/>
              </w:rPr>
              <w:t>$</w:t>
            </w:r>
          </w:p>
        </w:tc>
        <w:tc>
          <w:tcPr>
            <w:tcW w:w="800" w:type="dxa"/>
            <w:tcBorders/>
            <w:shd w:fill="CCEEFF" w:val="clear"/>
            <w:vAlign w:val="center"/>
          </w:tcPr>
          <w:p>
            <w:pPr>
              <w:pStyle w:val="TableContents"/>
              <w:bidi w:val="0"/>
              <w:spacing w:before="0" w:after="283"/>
              <w:jc w:val="right"/>
              <w:rPr>
                <w:sz w:val="18"/>
              </w:rPr>
            </w:pPr>
            <w:r>
              <w:rPr>
                <w:sz w:val="18"/>
              </w:rPr>
              <w:t>(8,236,041</w:t>
            </w:r>
          </w:p>
        </w:tc>
        <w:tc>
          <w:tcPr>
            <w:tcW w:w="155"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8"/>
              </w:rPr>
            </w:pPr>
            <w:r>
              <w:rPr>
                <w:sz w:val="18"/>
              </w:rPr>
              <w:t>$</w:t>
            </w:r>
          </w:p>
        </w:tc>
        <w:tc>
          <w:tcPr>
            <w:tcW w:w="890" w:type="dxa"/>
            <w:tcBorders/>
            <w:shd w:fill="CCEEFF" w:val="clear"/>
            <w:vAlign w:val="center"/>
          </w:tcPr>
          <w:p>
            <w:pPr>
              <w:pStyle w:val="TableContents"/>
              <w:bidi w:val="0"/>
              <w:spacing w:before="0" w:after="283"/>
              <w:jc w:val="right"/>
              <w:rPr>
                <w:sz w:val="18"/>
              </w:rPr>
            </w:pPr>
            <w:r>
              <w:rPr>
                <w:sz w:val="18"/>
              </w:rPr>
              <w:t>(30,143,761</w:t>
            </w:r>
          </w:p>
        </w:tc>
        <w:tc>
          <w:tcPr>
            <w:tcW w:w="95" w:type="dxa"/>
            <w:tcBorders/>
            <w:shd w:fill="CCEEFF" w:val="clear"/>
            <w:vAlign w:val="center"/>
          </w:tcPr>
          <w:p>
            <w:pPr>
              <w:pStyle w:val="TableContents"/>
              <w:bidi w:val="0"/>
              <w:spacing w:before="0" w:after="283"/>
              <w:jc w:val="left"/>
              <w:rPr>
                <w:sz w:val="18"/>
              </w:rPr>
            </w:pPr>
            <w:r>
              <w:rPr>
                <w:sz w:val="18"/>
              </w:rPr>
              <w:t>)</w:t>
            </w:r>
          </w:p>
        </w:tc>
      </w:tr>
      <w:tr>
        <w:trPr/>
        <w:tc>
          <w:tcPr>
            <w:tcW w:w="5135" w:type="dxa"/>
            <w:tcBorders/>
            <w:shd w:fill="FFFFFF" w:val="clear"/>
            <w:vAlign w:val="center"/>
          </w:tcPr>
          <w:p>
            <w:pPr>
              <w:pStyle w:val="TableContents"/>
              <w:bidi w:val="0"/>
              <w:spacing w:before="0" w:after="283"/>
              <w:jc w:val="left"/>
              <w:rPr>
                <w:sz w:val="18"/>
              </w:rPr>
            </w:pPr>
            <w:r>
              <w:rPr>
                <w:sz w:val="18"/>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sz w:val="18"/>
              </w:rPr>
            </w:pPr>
            <w:r>
              <w:rPr>
                <w:sz w:val="18"/>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8"/>
              </w:rPr>
            </w:pPr>
            <w:r>
              <w:rPr>
                <w:sz w:val="18"/>
              </w:rPr>
              <w:t>334,091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8"/>
              </w:rPr>
            </w:pPr>
            <w:r>
              <w:rPr>
                <w:sz w:val="18"/>
              </w:rPr>
              <w:t>5,101</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Amortization of debt origination fees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8"/>
              </w:rPr>
            </w:pPr>
            <w:r>
              <w:rPr>
                <w:sz w:val="18"/>
              </w:rPr>
              <w:t>267,500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sz w:val="18"/>
              </w:rPr>
            </w:pPr>
            <w:r>
              <w:rPr>
                <w:sz w:val="18"/>
              </w:rPr>
              <w:t>Interest expense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8"/>
              </w:rPr>
            </w:pPr>
            <w:r>
              <w:rPr>
                <w:sz w:val="18"/>
              </w:rPr>
              <w:t>270,723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8"/>
              </w:rPr>
            </w:pPr>
            <w:r>
              <w:rPr>
                <w:sz w:val="18"/>
              </w:rPr>
              <w:t>21,380</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Change in fair value of SAFE notes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17,368,415</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sz w:val="18"/>
              </w:rPr>
            </w:pPr>
            <w:r>
              <w:rPr>
                <w:sz w:val="18"/>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r>
              <w:rPr>
                <w:sz w:val="18"/>
              </w:rPr>
              <w:t>17,864</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Transaction costs paid in shares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156,869</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sz w:val="18"/>
              </w:rPr>
            </w:pPr>
            <w:r>
              <w:rPr>
                <w:sz w:val="18"/>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8"/>
              </w:rPr>
            </w:pPr>
            <w:r>
              <w:rPr>
                <w:sz w:val="18"/>
              </w:rPr>
              <w:t>3,364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8"/>
              </w:rPr>
            </w:pPr>
            <w:r>
              <w:rPr>
                <w:sz w:val="18"/>
              </w:rPr>
              <w:t>19,742</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Noncash operating lease expense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8"/>
              </w:rPr>
            </w:pPr>
            <w:r>
              <w:rPr>
                <w:sz w:val="18"/>
              </w:rPr>
              <w:t>70,920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sz w:val="18"/>
              </w:rPr>
            </w:pPr>
            <w:r>
              <w:rPr>
                <w:sz w:val="18"/>
              </w:rPr>
              <w:t>Amortization of ROU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8"/>
              </w:rPr>
            </w:pPr>
            <w:r>
              <w:rPr>
                <w:sz w:val="18"/>
              </w:rPr>
              <w:t>31,641</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Loss on debt extinguishment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5,728,295</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sz w:val="18"/>
              </w:rPr>
            </w:pPr>
            <w:r>
              <w:rPr>
                <w:sz w:val="18"/>
              </w:rPr>
              <w:t>Loss on issuance of shares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(19,402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Operating lease payment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(51,642</w:t>
            </w:r>
          </w:p>
        </w:tc>
        <w:tc>
          <w:tcPr>
            <w:tcW w:w="95" w:type="dxa"/>
            <w:tcBorders/>
            <w:shd w:fill="FFFFFF" w:val="clear"/>
            <w:vAlign w:val="center"/>
          </w:tcPr>
          <w:p>
            <w:pPr>
              <w:pStyle w:val="TableContents"/>
              <w:bidi w:val="0"/>
              <w:spacing w:before="0" w:after="283"/>
              <w:jc w:val="left"/>
              <w:rPr>
                <w:sz w:val="18"/>
              </w:rPr>
            </w:pPr>
            <w:r>
              <w:rPr>
                <w:sz w:val="18"/>
              </w:rPr>
              <w:t>)</w:t>
            </w:r>
          </w:p>
        </w:tc>
      </w:tr>
      <w:tr>
        <w:trPr/>
        <w:tc>
          <w:tcPr>
            <w:tcW w:w="5135" w:type="dxa"/>
            <w:tcBorders/>
            <w:shd w:fill="CCEEFF" w:val="clear"/>
            <w:vAlign w:val="center"/>
          </w:tcPr>
          <w:p>
            <w:pPr>
              <w:pStyle w:val="TableContents"/>
              <w:bidi w:val="0"/>
              <w:spacing w:before="0" w:after="283"/>
              <w:jc w:val="left"/>
              <w:rPr>
                <w:sz w:val="18"/>
              </w:rPr>
            </w:pPr>
            <w:r>
              <w:rPr>
                <w:sz w:val="18"/>
              </w:rPr>
              <w:t>Reverse recapitalization transaction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8"/>
              </w:rPr>
            </w:pPr>
            <w:r>
              <w:rPr>
                <w:sz w:val="18"/>
              </w:rPr>
              <w:t>(3,339,169</w:t>
            </w:r>
          </w:p>
        </w:tc>
        <w:tc>
          <w:tcPr>
            <w:tcW w:w="95" w:type="dxa"/>
            <w:tcBorders/>
            <w:shd w:fill="CCEEFF" w:val="clear"/>
            <w:vAlign w:val="center"/>
          </w:tcPr>
          <w:p>
            <w:pPr>
              <w:pStyle w:val="TableContents"/>
              <w:bidi w:val="0"/>
              <w:spacing w:before="0" w:after="283"/>
              <w:jc w:val="left"/>
              <w:rPr>
                <w:sz w:val="18"/>
              </w:rPr>
            </w:pPr>
            <w:r>
              <w:rPr>
                <w:sz w:val="18"/>
              </w:rPr>
              <w:t>)</w:t>
            </w:r>
          </w:p>
        </w:tc>
      </w:tr>
      <w:tr>
        <w:trPr/>
        <w:tc>
          <w:tcPr>
            <w:tcW w:w="5135" w:type="dxa"/>
            <w:tcBorders/>
            <w:shd w:fill="FFFFFF" w:val="clear"/>
            <w:vAlign w:val="center"/>
          </w:tcPr>
          <w:p>
            <w:pPr>
              <w:pStyle w:val="TableContents"/>
              <w:bidi w:val="0"/>
              <w:spacing w:before="0" w:after="283"/>
              <w:jc w:val="left"/>
              <w:rPr/>
            </w:pPr>
            <w:r>
              <w:rPr/>
              <w:t>Shares issued for debt origination fees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sz w:val="18"/>
              </w:rPr>
            </w:pPr>
            <w:r>
              <w:rPr>
                <w:sz w:val="18"/>
              </w:rPr>
              <w:t>Shares issued for services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8"/>
              </w:rPr>
            </w:pPr>
            <w:r>
              <w:rPr>
                <w:sz w:val="18"/>
              </w:rPr>
              <w:t>125,000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Change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sz w:val="18"/>
              </w:rPr>
            </w:pPr>
            <w:r>
              <w:rPr>
                <w:sz w:val="18"/>
              </w:rPr>
              <w:t>Accounts receivable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8"/>
              </w:rPr>
            </w:pPr>
            <w:r>
              <w:rPr>
                <w:sz w:val="18"/>
              </w:rPr>
              <w:t>3,591,860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8"/>
              </w:rPr>
            </w:pPr>
            <w:r>
              <w:rPr>
                <w:sz w:val="18"/>
              </w:rPr>
              <w:t>34,328</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8"/>
              </w:rPr>
            </w:pPr>
            <w:r>
              <w:rPr>
                <w:sz w:val="18"/>
              </w:rPr>
              <w:t>61,559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(404,842</w:t>
            </w:r>
          </w:p>
        </w:tc>
        <w:tc>
          <w:tcPr>
            <w:tcW w:w="95" w:type="dxa"/>
            <w:tcBorders/>
            <w:shd w:fill="FFFFFF" w:val="clear"/>
            <w:vAlign w:val="center"/>
          </w:tcPr>
          <w:p>
            <w:pPr>
              <w:pStyle w:val="TableContents"/>
              <w:bidi w:val="0"/>
              <w:spacing w:before="0" w:after="283"/>
              <w:jc w:val="left"/>
              <w:rPr>
                <w:sz w:val="18"/>
              </w:rPr>
            </w:pPr>
            <w:r>
              <w:rPr>
                <w:sz w:val="18"/>
              </w:rPr>
              <w:t>)</w:t>
            </w:r>
          </w:p>
        </w:tc>
      </w:tr>
      <w:tr>
        <w:trPr/>
        <w:tc>
          <w:tcPr>
            <w:tcW w:w="5135" w:type="dxa"/>
            <w:tcBorders/>
            <w:shd w:fill="CCEEFF" w:val="clear"/>
            <w:vAlign w:val="center"/>
          </w:tcPr>
          <w:p>
            <w:pPr>
              <w:pStyle w:val="TableContents"/>
              <w:bidi w:val="0"/>
              <w:spacing w:before="0" w:after="283"/>
              <w:jc w:val="left"/>
              <w:rPr>
                <w:sz w:val="18"/>
              </w:rPr>
            </w:pPr>
            <w:r>
              <w:rPr>
                <w:sz w:val="18"/>
              </w:rPr>
              <w:t>Inventory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8"/>
              </w:rPr>
            </w:pPr>
            <w:r>
              <w:rPr>
                <w:sz w:val="18"/>
              </w:rPr>
              <w:t>(1,237,819</w:t>
            </w:r>
          </w:p>
        </w:tc>
        <w:tc>
          <w:tcPr>
            <w:tcW w:w="155"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8"/>
              </w:rPr>
            </w:pPr>
            <w:r>
              <w:rPr>
                <w:sz w:val="18"/>
              </w:rPr>
              <w:t>(297,186</w:t>
            </w:r>
          </w:p>
        </w:tc>
        <w:tc>
          <w:tcPr>
            <w:tcW w:w="95" w:type="dxa"/>
            <w:tcBorders/>
            <w:shd w:fill="CCEEFF" w:val="clear"/>
            <w:vAlign w:val="center"/>
          </w:tcPr>
          <w:p>
            <w:pPr>
              <w:pStyle w:val="TableContents"/>
              <w:bidi w:val="0"/>
              <w:spacing w:before="0" w:after="283"/>
              <w:jc w:val="left"/>
              <w:rPr>
                <w:sz w:val="18"/>
              </w:rPr>
            </w:pPr>
            <w:r>
              <w:rPr>
                <w:sz w:val="18"/>
              </w:rPr>
              <w:t>)</w:t>
            </w:r>
          </w:p>
        </w:tc>
      </w:tr>
      <w:tr>
        <w:trPr/>
        <w:tc>
          <w:tcPr>
            <w:tcW w:w="5135" w:type="dxa"/>
            <w:tcBorders/>
            <w:shd w:fill="FFFFFF" w:val="clear"/>
            <w:vAlign w:val="center"/>
          </w:tcPr>
          <w:p>
            <w:pPr>
              <w:pStyle w:val="TableContents"/>
              <w:bidi w:val="0"/>
              <w:spacing w:before="0" w:after="283"/>
              <w:jc w:val="left"/>
              <w:rPr>
                <w:sz w:val="18"/>
              </w:rPr>
            </w:pPr>
            <w:r>
              <w:rPr>
                <w:sz w:val="18"/>
              </w:rPr>
              <w:t>Accounts payable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8"/>
              </w:rPr>
            </w:pPr>
            <w:r>
              <w:rPr>
                <w:sz w:val="18"/>
              </w:rPr>
              <w:t>2,483,860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(540,863</w:t>
            </w:r>
          </w:p>
        </w:tc>
        <w:tc>
          <w:tcPr>
            <w:tcW w:w="95" w:type="dxa"/>
            <w:tcBorders/>
            <w:shd w:fill="FFFFFF" w:val="clear"/>
            <w:vAlign w:val="center"/>
          </w:tcPr>
          <w:p>
            <w:pPr>
              <w:pStyle w:val="TableContents"/>
              <w:bidi w:val="0"/>
              <w:spacing w:before="0" w:after="283"/>
              <w:jc w:val="left"/>
              <w:rPr>
                <w:sz w:val="18"/>
              </w:rPr>
            </w:pPr>
            <w:r>
              <w:rPr>
                <w:sz w:val="18"/>
              </w:rPr>
              <w:t>)</w:t>
            </w:r>
          </w:p>
        </w:tc>
      </w:tr>
      <w:tr>
        <w:trPr/>
        <w:tc>
          <w:tcPr>
            <w:tcW w:w="5135" w:type="dxa"/>
            <w:tcBorders/>
            <w:shd w:fill="CCEEFF" w:val="clear"/>
            <w:vAlign w:val="center"/>
          </w:tcPr>
          <w:p>
            <w:pPr>
              <w:pStyle w:val="TableContents"/>
              <w:bidi w:val="0"/>
              <w:spacing w:before="0" w:after="283"/>
              <w:jc w:val="left"/>
              <w:rPr>
                <w:sz w:val="18"/>
              </w:rPr>
            </w:pPr>
            <w:r>
              <w:rPr>
                <w:sz w:val="18"/>
              </w:rPr>
              <w:t>Accrued expenses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8"/>
              </w:rPr>
            </w:pPr>
            <w:r>
              <w:rPr>
                <w:sz w:val="18"/>
              </w:rPr>
              <w:t>359,758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8"/>
              </w:rPr>
            </w:pPr>
            <w:r>
              <w:rPr>
                <w:sz w:val="18"/>
              </w:rPr>
              <w:t>1,006,861</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Accrued compensation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8"/>
              </w:rPr>
            </w:pPr>
            <w:r>
              <w:rPr>
                <w:sz w:val="18"/>
              </w:rPr>
              <w:t>24,515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(150,623</w:t>
            </w:r>
          </w:p>
        </w:tc>
        <w:tc>
          <w:tcPr>
            <w:tcW w:w="95" w:type="dxa"/>
            <w:tcBorders/>
            <w:shd w:fill="FFFFFF" w:val="clear"/>
            <w:vAlign w:val="center"/>
          </w:tcPr>
          <w:p>
            <w:pPr>
              <w:pStyle w:val="TableContents"/>
              <w:bidi w:val="0"/>
              <w:spacing w:before="0" w:after="283"/>
              <w:jc w:val="left"/>
              <w:rPr>
                <w:sz w:val="18"/>
              </w:rPr>
            </w:pPr>
            <w:r>
              <w:rPr>
                <w:sz w:val="18"/>
              </w:rPr>
              <w:t>)</w:t>
            </w:r>
          </w:p>
        </w:tc>
      </w:tr>
      <w:tr>
        <w:trPr/>
        <w:tc>
          <w:tcPr>
            <w:tcW w:w="5135" w:type="dxa"/>
            <w:tcBorders/>
            <w:shd w:fill="CCEEFF" w:val="clear"/>
            <w:vAlign w:val="center"/>
          </w:tcPr>
          <w:p>
            <w:pPr>
              <w:pStyle w:val="TableContents"/>
              <w:bidi w:val="0"/>
              <w:spacing w:before="0" w:after="283"/>
              <w:jc w:val="left"/>
              <w:rPr>
                <w:sz w:val="18"/>
              </w:rPr>
            </w:pPr>
            <w:r>
              <w:rPr>
                <w:sz w:val="18"/>
              </w:rPr>
              <w:t>Interest payable to related parties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8"/>
              </w:rPr>
            </w:pPr>
            <w:r>
              <w:rPr>
                <w:sz w:val="18"/>
              </w:rPr>
              <w:t>10,344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Accrued taxes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8"/>
              </w:rPr>
            </w:pPr>
            <w:r>
              <w:rPr>
                <w:sz w:val="18"/>
              </w:rPr>
              <w:t>12,000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3,911,691</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sz w:val="18"/>
              </w:rPr>
            </w:pPr>
            <w:r>
              <w:rPr>
                <w:sz w:val="18"/>
              </w:rPr>
              <w:t>Operating lease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8"/>
              </w:rPr>
            </w:pPr>
            <w:r>
              <w:rPr>
                <w:sz w:val="18"/>
              </w:rPr>
              <w:t>(67,901</w:t>
            </w:r>
          </w:p>
        </w:tc>
        <w:tc>
          <w:tcPr>
            <w:tcW w:w="155"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Derivative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101,243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sz w:val="18"/>
              </w:rPr>
            </w:pPr>
            <w:r>
              <w:rPr>
                <w:sz w:val="18"/>
              </w:rPr>
              <w:t>Deferred revenue</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(180</w:t>
            </w:r>
          </w:p>
        </w:tc>
        <w:tc>
          <w:tcPr>
            <w:tcW w:w="155"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251,021</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(1,706,742</w:t>
            </w:r>
          </w:p>
        </w:tc>
        <w:tc>
          <w:tcPr>
            <w:tcW w:w="155"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(6,392,742</w:t>
            </w:r>
          </w:p>
        </w:tc>
        <w:tc>
          <w:tcPr>
            <w:tcW w:w="95" w:type="dxa"/>
            <w:tcBorders/>
            <w:shd w:fill="FFFFFF" w:val="clear"/>
            <w:vAlign w:val="center"/>
          </w:tcPr>
          <w:p>
            <w:pPr>
              <w:pStyle w:val="TableContents"/>
              <w:bidi w:val="0"/>
              <w:spacing w:before="0" w:after="283"/>
              <w:jc w:val="left"/>
              <w:rPr>
                <w:sz w:val="18"/>
              </w:rPr>
            </w:pPr>
            <w:r>
              <w:rPr>
                <w:sz w:val="18"/>
              </w:rPr>
              <w:t>)</w:t>
            </w:r>
          </w:p>
        </w:tc>
      </w:tr>
      <w:tr>
        <w:trPr/>
        <w:tc>
          <w:tcPr>
            <w:tcW w:w="5135" w:type="dxa"/>
            <w:tcBorders/>
            <w:shd w:fill="CCEEFF" w:val="clear"/>
            <w:vAlign w:val="center"/>
          </w:tcPr>
          <w:p>
            <w:pPr>
              <w:pStyle w:val="TableContents"/>
              <w:bidi w:val="0"/>
              <w:spacing w:before="0" w:after="283"/>
              <w:jc w:val="left"/>
              <w:rPr>
                <w:sz w:val="18"/>
              </w:rPr>
            </w:pPr>
            <w:r>
              <w:rPr>
                <w:sz w:val="18"/>
              </w:rPr>
              <w:t>INVESTING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(107,200</w:t>
            </w:r>
          </w:p>
        </w:tc>
        <w:tc>
          <w:tcPr>
            <w:tcW w:w="95" w:type="dxa"/>
            <w:tcBorders/>
            <w:shd w:fill="FFFFFF" w:val="clear"/>
            <w:vAlign w:val="center"/>
          </w:tcPr>
          <w:p>
            <w:pPr>
              <w:pStyle w:val="TableContents"/>
              <w:bidi w:val="0"/>
              <w:spacing w:before="0" w:after="283"/>
              <w:jc w:val="left"/>
              <w:rPr>
                <w:sz w:val="18"/>
              </w:rPr>
            </w:pPr>
            <w:r>
              <w:rPr>
                <w:sz w:val="18"/>
              </w:rPr>
              <w:t>)</w:t>
            </w:r>
          </w:p>
        </w:tc>
      </w:tr>
      <w:tr>
        <w:trPr/>
        <w:tc>
          <w:tcPr>
            <w:tcW w:w="5135" w:type="dxa"/>
            <w:tcBorders/>
            <w:shd w:fill="CCEEFF" w:val="clear"/>
            <w:vAlign w:val="center"/>
          </w:tcPr>
          <w:p>
            <w:pPr>
              <w:pStyle w:val="TableContents"/>
              <w:bidi w:val="0"/>
              <w:spacing w:before="0" w:after="283"/>
              <w:jc w:val="left"/>
              <w:rPr>
                <w:sz w:val="18"/>
              </w:rPr>
            </w:pPr>
            <w:r>
              <w:rPr>
                <w:sz w:val="18"/>
              </w:rPr>
              <w:t>Capitalized software development costs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(39,296</w:t>
            </w:r>
          </w:p>
        </w:tc>
        <w:tc>
          <w:tcPr>
            <w:tcW w:w="155"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(636,598</w:t>
            </w:r>
          </w:p>
        </w:tc>
        <w:tc>
          <w:tcPr>
            <w:tcW w:w="95" w:type="dxa"/>
            <w:tcBorders/>
            <w:shd w:fill="CCEEFF" w:val="clear"/>
            <w:vAlign w:val="center"/>
          </w:tcPr>
          <w:p>
            <w:pPr>
              <w:pStyle w:val="TableContents"/>
              <w:bidi w:val="0"/>
              <w:spacing w:before="0" w:after="283"/>
              <w:jc w:val="left"/>
              <w:rPr>
                <w:sz w:val="18"/>
              </w:rPr>
            </w:pPr>
            <w:r>
              <w:rPr>
                <w:sz w:val="18"/>
              </w:rPr>
              <w:t>)</w:t>
            </w:r>
          </w:p>
        </w:tc>
      </w:tr>
      <w:tr>
        <w:trPr/>
        <w:tc>
          <w:tcPr>
            <w:tcW w:w="5135" w:type="dxa"/>
            <w:tcBorders/>
            <w:shd w:fill="FFFFFF" w:val="clear"/>
            <w:vAlign w:val="center"/>
          </w:tcPr>
          <w:p>
            <w:pPr>
              <w:pStyle w:val="TableContents"/>
              <w:bidi w:val="0"/>
              <w:spacing w:before="0" w:after="283"/>
              <w:jc w:val="left"/>
              <w:rPr>
                <w:sz w:val="18"/>
              </w:rPr>
            </w:pPr>
            <w:r>
              <w:rPr>
                <w:sz w:val="18"/>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(39,296</w:t>
            </w:r>
          </w:p>
        </w:tc>
        <w:tc>
          <w:tcPr>
            <w:tcW w:w="155"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(743,798</w:t>
            </w:r>
          </w:p>
        </w:tc>
        <w:tc>
          <w:tcPr>
            <w:tcW w:w="95" w:type="dxa"/>
            <w:tcBorders/>
            <w:shd w:fill="FFFFFF" w:val="clear"/>
            <w:vAlign w:val="center"/>
          </w:tcPr>
          <w:p>
            <w:pPr>
              <w:pStyle w:val="TableContents"/>
              <w:bidi w:val="0"/>
              <w:spacing w:before="0" w:after="283"/>
              <w:jc w:val="left"/>
              <w:rPr>
                <w:sz w:val="18"/>
              </w:rPr>
            </w:pPr>
            <w:r>
              <w:rPr>
                <w:sz w:val="18"/>
              </w:rPr>
              <w:t>)</w:t>
            </w:r>
          </w:p>
        </w:tc>
      </w:tr>
      <w:tr>
        <w:trPr/>
        <w:tc>
          <w:tcPr>
            <w:tcW w:w="5135" w:type="dxa"/>
            <w:tcBorders/>
            <w:shd w:fill="CCEEFF" w:val="clear"/>
            <w:vAlign w:val="center"/>
          </w:tcPr>
          <w:p>
            <w:pPr>
              <w:pStyle w:val="TableContents"/>
              <w:bidi w:val="0"/>
              <w:spacing w:before="0" w:after="283"/>
              <w:jc w:val="left"/>
              <w:rPr>
                <w:sz w:val="18"/>
              </w:rPr>
            </w:pPr>
            <w:r>
              <w:rPr>
                <w:sz w:val="18"/>
              </w:rPr>
              <w:t>FINANCING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Proceeds from issuance of short-term loans to third-parties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8"/>
              </w:rPr>
            </w:pPr>
            <w:r>
              <w:rPr>
                <w:sz w:val="18"/>
              </w:rPr>
              <w:t>1,190,000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2,850,000</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sz w:val="18"/>
              </w:rPr>
            </w:pPr>
            <w:r>
              <w:rPr>
                <w:sz w:val="18"/>
              </w:rPr>
              <w:t>Proceeds from issuance of SAFE notes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8"/>
              </w:rPr>
            </w:pPr>
            <w:r>
              <w:rPr>
                <w:sz w:val="18"/>
              </w:rPr>
              <w:t>23,752</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Proceeds from PIPE investments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10,837,643</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sz w:val="18"/>
              </w:rPr>
            </w:pPr>
            <w:r>
              <w:rPr>
                <w:sz w:val="18"/>
              </w:rPr>
              <w:t>Proceeds from issuance of short-term loan from related parties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8"/>
              </w:rPr>
            </w:pPr>
            <w:r>
              <w:rPr>
                <w:sz w:val="18"/>
              </w:rPr>
              <w:t>349,996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Proceeds from issuance of shares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8"/>
              </w:rPr>
            </w:pPr>
            <w:r>
              <w:rPr>
                <w:sz w:val="18"/>
              </w:rPr>
              <w:t>644,756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sz w:val="18"/>
              </w:rPr>
            </w:pPr>
            <w:r>
              <w:rPr>
                <w:sz w:val="18"/>
              </w:rPr>
              <w:t>Proceeds from Trust accounts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8"/>
              </w:rPr>
            </w:pPr>
            <w:r>
              <w:rPr>
                <w:sz w:val="18"/>
              </w:rPr>
              <w:t>5,577,304</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Proceeds from warrant exercises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8"/>
              </w:rPr>
            </w:pPr>
            <w:r>
              <w:rPr>
                <w:sz w:val="18"/>
              </w:rPr>
              <w:t>180,000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sz w:val="18"/>
              </w:rPr>
            </w:pPr>
            <w:r>
              <w:rPr>
                <w:sz w:val="18"/>
              </w:rPr>
              <w:t>Purchase of common stock</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8"/>
              </w:rPr>
            </w:pPr>
            <w:r>
              <w:rPr>
                <w:sz w:val="18"/>
              </w:rPr>
              <w:t>(5,000,000</w:t>
            </w:r>
          </w:p>
        </w:tc>
        <w:tc>
          <w:tcPr>
            <w:tcW w:w="95" w:type="dxa"/>
            <w:tcBorders/>
            <w:shd w:fill="CCEEFF" w:val="clear"/>
            <w:vAlign w:val="center"/>
          </w:tcPr>
          <w:p>
            <w:pPr>
              <w:pStyle w:val="TableContents"/>
              <w:bidi w:val="0"/>
              <w:spacing w:before="0" w:after="283"/>
              <w:jc w:val="left"/>
              <w:rPr>
                <w:sz w:val="18"/>
              </w:rPr>
            </w:pPr>
            <w:r>
              <w:rPr>
                <w:sz w:val="18"/>
              </w:rPr>
              <w:t>)</w:t>
            </w:r>
          </w:p>
        </w:tc>
      </w:tr>
      <w:tr>
        <w:trPr/>
        <w:tc>
          <w:tcPr>
            <w:tcW w:w="5135" w:type="dxa"/>
            <w:tcBorders/>
            <w:shd w:fill="FFFFFF" w:val="clear"/>
            <w:vAlign w:val="center"/>
          </w:tcPr>
          <w:p>
            <w:pPr>
              <w:pStyle w:val="TableContents"/>
              <w:bidi w:val="0"/>
              <w:spacing w:before="0" w:after="283"/>
              <w:jc w:val="left"/>
              <w:rPr>
                <w:sz w:val="18"/>
              </w:rPr>
            </w:pPr>
            <w:r>
              <w:rPr>
                <w:sz w:val="18"/>
              </w:rPr>
              <w:t>Repayment of bridge loans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(1,380,545</w:t>
            </w:r>
          </w:p>
        </w:tc>
        <w:tc>
          <w:tcPr>
            <w:tcW w:w="95" w:type="dxa"/>
            <w:tcBorders/>
            <w:shd w:fill="FFFFFF" w:val="clear"/>
            <w:vAlign w:val="center"/>
          </w:tcPr>
          <w:p>
            <w:pPr>
              <w:pStyle w:val="TableContents"/>
              <w:bidi w:val="0"/>
              <w:spacing w:before="0" w:after="283"/>
              <w:jc w:val="left"/>
              <w:rPr>
                <w:sz w:val="18"/>
              </w:rPr>
            </w:pPr>
            <w:r>
              <w:rPr>
                <w:sz w:val="18"/>
              </w:rPr>
              <w:t>)</w:t>
            </w:r>
          </w:p>
        </w:tc>
      </w:tr>
      <w:tr>
        <w:trPr/>
        <w:tc>
          <w:tcPr>
            <w:tcW w:w="5135" w:type="dxa"/>
            <w:tcBorders/>
            <w:shd w:fill="CCEEFF" w:val="clear"/>
            <w:vAlign w:val="center"/>
          </w:tcPr>
          <w:p>
            <w:pPr>
              <w:pStyle w:val="TableContents"/>
              <w:bidi w:val="0"/>
              <w:spacing w:before="0" w:after="283"/>
              <w:jc w:val="left"/>
              <w:rPr>
                <w:sz w:val="18"/>
              </w:rPr>
            </w:pPr>
            <w:r>
              <w:rPr>
                <w:sz w:val="18"/>
              </w:rPr>
              <w:t>Repayment of short-term loan to third-parties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(1,028,269</w:t>
            </w:r>
          </w:p>
        </w:tc>
        <w:tc>
          <w:tcPr>
            <w:tcW w:w="155"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1,336,483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12,908,154</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sz w:val="18"/>
              </w:rPr>
            </w:pPr>
            <w:r>
              <w:rPr>
                <w:sz w:val="18"/>
              </w:rPr>
              <w:t>Net increase in cash during the period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8"/>
              </w:rPr>
            </w:pPr>
            <w:r>
              <w:rPr>
                <w:sz w:val="18"/>
              </w:rPr>
              <w:t>(409,555</w:t>
            </w:r>
          </w:p>
        </w:tc>
        <w:tc>
          <w:tcPr>
            <w:tcW w:w="155"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8"/>
              </w:rPr>
            </w:pPr>
            <w:r>
              <w:rPr>
                <w:sz w:val="18"/>
              </w:rPr>
              <w:t>5,771,614</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Cash, beginning of period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865,624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721,032</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sz w:val="18"/>
              </w:rPr>
            </w:pPr>
            <w:r>
              <w:rPr>
                <w:sz w:val="18"/>
              </w:rPr>
              <w:t>Cash, end of period</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456,069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6,492,646</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SUPPLEMENTAL DISCLOSURE OF CASH ACTIVITIES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sz w:val="18"/>
              </w:rPr>
            </w:pPr>
            <w:r>
              <w:rPr>
                <w:sz w:val="18"/>
              </w:rPr>
              <w:t>Cash paid for interest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778,691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Conversion of third-party short-term debt to equity</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sz w:val="18"/>
              </w:rPr>
            </w:pPr>
            <w:r>
              <w:rPr>
                <w:sz w:val="18"/>
              </w:rPr>
              <w:t>895,155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90" w:type="dxa"/>
            <w:tcBorders>
              <w:bottom w:val="double" w:sz="10" w:space="0" w:color="000000"/>
            </w:tcBorders>
            <w:shd w:fill="FFFFFF" w:val="clear"/>
            <w:tcMar>
              <w:bottom w:w="28" w:type="dxa"/>
            </w:tcMar>
            <w:vAlign w:val="center"/>
          </w:tcPr>
          <w:p>
            <w:pPr>
              <w:pStyle w:val="TableContents"/>
              <w:bidi w:val="0"/>
              <w:spacing w:before="0" w:after="283"/>
              <w:jc w:val="right"/>
              <w:rPr>
                <w:sz w:val="18"/>
              </w:rPr>
            </w:pPr>
            <w:r>
              <w:rPr>
                <w:sz w:val="18"/>
              </w:rPr>
              <w:t>2,456,500</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sz w:val="18"/>
              </w:rPr>
            </w:pPr>
            <w:r>
              <w:rPr>
                <w:sz w:val="18"/>
              </w:rPr>
              <w:t>ROU asset obtained in exchange for lease liability</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482,227</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18"/>
              </w:rPr>
            </w:pPr>
            <w:r>
              <w:rPr>
                <w:sz w:val="18"/>
              </w:rPr>
              <w:t>Conversion of SAFE notes to equity</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sz w:val="18"/>
              </w:rPr>
            </w:pPr>
            <w:r>
              <w:rPr>
                <w:sz w:val="18"/>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90" w:type="dxa"/>
            <w:tcBorders>
              <w:bottom w:val="double" w:sz="10" w:space="0" w:color="000000"/>
            </w:tcBorders>
            <w:shd w:fill="FFFFFF" w:val="clear"/>
            <w:tcMar>
              <w:bottom w:w="28" w:type="dxa"/>
            </w:tcMar>
            <w:vAlign w:val="center"/>
          </w:tcPr>
          <w:p>
            <w:pPr>
              <w:pStyle w:val="TableContents"/>
              <w:bidi w:val="0"/>
              <w:spacing w:before="0" w:after="283"/>
              <w:jc w:val="right"/>
              <w:rPr>
                <w:sz w:val="18"/>
              </w:rPr>
            </w:pPr>
            <w:r>
              <w:rPr>
                <w:sz w:val="18"/>
              </w:rPr>
              <w:t>40,726,793</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Company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 and 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in-process tracking of resources. Through the Company’s extensive research and development initiatives, the Company’s main focus includes areas such as Industrial IoT, Indoor and  Outdoor tracking with seamless transitions, Passive RFID (including Bluetooth and 5G), Collision Avoidance, real- time locating system, Dolly management, and related supported software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Legacy Company incorporated Dot Works, Inc. (“Dot Works”), a Puerto Rico corporation, as a wholly-owned subsidiary. Dot Works, based in Puerto Rico, serves as the primary manufacturing facility for Dot Ai, producing smart hardware devices and embedded technological components used in AI-driven enterprise solutions (ZIM Bridges and Smart Industrial TAGS). Activities include assembly, quality control, and packaging of proprietary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ShoulderUp Technology Acquisition Corp., a Delaware corporation (“ShoulderUp”), entered into a Business Combination Agreement (the “Business Combination Agreement”) by and among CID Holdco, Inc., a Delaware corporation and a direct, wholly-owned subsidiary of ShoulderUp (“Holdings”), ShoulderUp Merger Sub, Inc., a Delaware corporation and wholly-owned subsidiary of Holdings (“ShoulderUp Merger Sub”), SEI Merger Sub, Inc., a Delaware corporation and a direct, wholly-owned subsidiary of Holdings (“SEI Merger Sub” and together with ShoulderUp Merger Sub, the “Merger Subs”), and SEE ID, Inc., a Nevada corporation (collectively with any predecessor entities,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“Closing Date” or “Closing”), the Company consummated the Business Combination transactions by and among the Company, SUAC,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Business Combination Agreement, on June 18, 2025, each of the following transactions occurred in the following order: (a) ShoulderUp Merger Sub merged with and into SUAC, with SUAC continuing as the surviving entity, and, in connection therewith, each ordinary share of SUAC issued and outstanding immediately prior to the Closing Date were canceled in exchange for the right of the holder thereof to receive, with respect to each ordinary share that is not redeemed or converted at Closing, one share of common stock of the Company (“Common Stock”); (b) SEI Merger Sub merged with and into SEE ID, with SEE ID continuing as the surviving entity, and, in connection therewith, (i) SEE ID Common Stock issued and outstanding immediately prior to the Closing Date were canceled in exchange for the right of the holders thereof to receive shares of Common Stock as set forth in the Business Combination Agreement and (ii) any convertible securities of SEE ID were converted; and (c) as a result of the Mergers, SUAC and SEE ID each became wholly owned subsidiaries of the Company, and the Company became a publicly-traded company, all upon the terms and subject to the conditions set forth in the Business Combination Agreement and in accordance with the provisions of applicable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interests,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 As such, the holders of each whole warrant to purchase SUAC Class A Common Stock received one warrant to purchase the Company’s Common Stock at an exercise price of $11.50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CID Holdco filed a registration statement on Form S-4 (File No. 333-282600) with the U.S. Securities and Exchange Commission (“SEC”), as amended (the “Registration Statement”). The Registration Statement was declared effective by the SEC on June 18, 2025. Subsequently, the Company filed a registration statement on Form S-1 (File No. 333-290052), as amended, which was declared effective by the SEC on September 18,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Financial Accounting Standards Board (“FASB”) Accounting Standards Codification (“ASC”) Topic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which requires that management evaluate whether there are relevant conditions and events that in aggregate raise substantial doubt about the entity’s ability to continue as a going concern and to meet its obligations as they become due within one year after the date that the condensed consolidated financial statements are issued. Under the guidance, the Company must first evaluate whether there are conditions and events that raise substantial doubt about the entity’s ability to continue as a going concern (step 1). If the Company concludes substantial doubt is raised, management also is required to consider whether its plans alleviate that doubt (step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 limited operating history, has incurred significant operating losses since its inception, and the revenue and income potential of the Company’s business and market are unproven. The preparation of these condensed consolidated financial statements does not include any adjustments that may result from the outcome of this uncertainty. The Company’s condensed consolidated financial statements are prepared using the generally accepted accounting principles applicable to a going concern, which contemplates the realization of assets and liquidation of liabilities in the normal course of business. As of June 30, 2026, the Company had $456,069 in cash, a working capital deficit of $9,475,752 and accumulated deficit of $69,687,375. To date, the Company has funded its operations primarily with the net proceeds from the issuance of convertible promissory notes and the issuance and sale of equity securities. Following June 18, 2025, the Company has also funded its operations with proceeds from the Business Combination, short-term borrowings, and proceeds from the issuance of shares under its share subscription line of credit. The Company expects to incur substantial operating losses for the next several years and has obtained additional near-term financing to continue its research and development activities as described below.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18, 2025, the Company entered into a share subscription line of credit agreement under which the Company can access up to $50,000,000 in aggregate proceeds (see Note 10) to fund its R&amp;D activities and its operations. See Subsequent events (Note 21).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5, 2025, the Company entered into a loan agreement with J.J. Astor &amp; Co. for up to $5,000,000 in senior secured convertible loans, consisting of an initial $2,000,000 tranche and up to three additional $1,000,000 tranches. The initial tranche was issued as a $2,000,000 convertible note, of which $1,810,000 was funded, net of fees. The note matures on November 30, 2026 and is repayable in twelve monthly installments, consisting of an initial payment of $108,334 followed by eleven monthly payments of approximately $226,515, totaling $2,600,000. Each additional tranche, if funded at the lender’s discretion and subject to specified conditions (including equity line of credit (“ELOC”) availability, Nasdaq listing, minimum stock price, and trading volume requirements), will be issued as a $1,000,000 convertible note with $960,000 funded net of fees and accompanied by a warrant. The Company is required to use proceeds from its ELOC to make monthly payments, with 80% of ELOC proceeds remitted directly to the lender. Certain extraordinary receipts must also be applied toward repayment. In connection with the initial funding, the Company issued a warrant to purchase 230,770 shares at an exercise price of $1.69 per share, subject to customary adjustments and a 4.99% beneficial ownership limitation (which may be increased to 9.99% upon agreement). Conversions and warrant exercises are subject to Nasdaq rules.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Edmund Nabrotzky, Chief Executive Officer of the Company, Charles Maddox, Chief Financial Officer and Chief Operating Officer of the Company, and Vijayan Nambiar, Chief Technology Officer of the Company, loaned the Company an aggregate of $349,996 and may make additional loans to the Company up to an aggregate amount of $600,000 (collectively, the “Executive Loans”).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17, 2026, the Company entered into a financing arrangement with White Lion Capital, LLC (“White Lion”) consisting of an equity purchase facility and senior secured convertible promissory notes. Under the equity purchase facility, the Company may sell up to $10.0 million of its common stock to White Lion from time to time through purchase notices, subject to specified pricing terms, ownership limitations, and other conditions.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 Company entered into a note purchase agreement pursuant to which White Lion agreed to purchase senior secured convertible promissory notes with an aggregate principal amount of up to $2,875,000, reflecting a 20% original issue discount on aggregate cash proceeds of up to $2,300,000. The notes bear interest at 8% per annum, are secured by substantially all of the Company’s assets, and are convertible into common stock at a discount to the market price, subject to further reductions in the conversion price upon certain events of default. In connection with the financing, White Lion is also entitled to commitment shares valued at $120,000 and warrants to purchase up to $2,000,000 of common stock at an exercise price equal to 99% of the closing market price on the trading day immediately preceding the applicable exercise date. Aggregate share issuances under the agreements are subject to a 19.99% cap on the Company’s outstanding common stock unless stockholder approval is obtained.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White Lion had funded $690,000 to the Company under the convertible note arrangement, net of $172,500 of issuance costs. Under the $10,000,000 equity purchase facility, the Company had submitted purchase notices totaling $640,192 and issued 329,898 shares of common stock to White Lion. In addition, White Lion had exercised $180,000 of warrants, resulting in the issuance of 65,596 shares of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23, 2026, the Company entered into a note purchase agreement with Phillips Equities &amp; Trust, LLC (“Phillips”), pursuant to which Phillips agreed to provide $500,000 of financing in the form of secured convertible debt. The note matures 12 months from the issuance date and bears interest at 6% per annum. The note is convertible, at the holder’s option, into shares of the Company’s common stock at a conversion price equal to 80% of the applicable market price, subject to the exchange cap, beneficial ownership limitations, applicable securities laws, and trading market requirements. The Company expects to use the proceeds primarily for general corporate purposes, including supporting liquidity and servicing existing debt obligations.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condensed consolidated financial statements are issued. The accompanying quarterly condensed consolidated financial statements do not include any adjustments relating to the recoverability and classification of recorded asset amounts or the amounts and classification of liabilities that might result from the outcome of these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significant accounting policies are described in Note 2 – Summary of Significant Accounting Policies to the consolidated financial statements in the Company’s Annual Report on Form 10-K for the fiscal year ended December 31, 2025. There have been no material changes in these policies or their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include the accounts of CID Holdco, and its wholly-owned subsidiaries, Dot Ai and Dot Works, which are collectively referred to as the “Company” in these condensed consolidated financial statements. All intercompany balances and transactions have been eliminated upon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CID Holdco, Inc. and its subsidiaries, with all intercompany transactions and balances eliminated in consolidation. The Company has prepared the condensed consolidated financial statements in accordance with accounting principles generally accepted in the United States of America (“U.S. GAAP”) and in conformity with the rules and regulations of the SEC. In the opinion of management, the condensed consolidated financial statements reflect all adjustments, consisting only of normal recurring adjustments, necessary for the fair presentation of the Company’s financial position, results of operations, and cash flows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condensed consolidated financial statements and notes should be read in conjunction with the consolidated financial statements and notes in the Company’s Annual Report on Form 10-K for the year ended December 31, 2025, filed with the SEC on March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Accounting Standards Update (“ASU”) No. 2024-03, </w:t>
      </w:r>
      <w:r>
        <w:rPr>
          <w:rFonts w:ascii="Times New Roman;Times;Serif" w:hAnsi="Times New Roman;Times;Serif"/>
          <w:b w:val="false"/>
          <w:i/>
          <w:caps w:val="false"/>
          <w:smallCaps w:val="false"/>
          <w:sz w:val="20"/>
        </w:rPr>
        <w:t>Disaggregation of Income Statement Expenses,</w:t>
      </w:r>
      <w:r>
        <w:rPr>
          <w:rFonts w:ascii="Times New Roman;Times;Serif" w:hAnsi="Times New Roman;Times;Serif"/>
          <w:b w:val="false"/>
          <w:i w:val="false"/>
          <w:caps w:val="false"/>
          <w:smallCaps w:val="false"/>
          <w:sz w:val="20"/>
        </w:rPr>
        <w:t xml:space="preserve"> which requires disclosures of certain additional expense information on an annual and interim basis, including, among other items, the amounts of purchases of inventory, employee compensation, depreciation and intangible asset amortization included within each income statement expense caption, as applicable. The updated standard is effective for our annual periods beginning  after December 15, 2026 and interim periods within annual reporting periods beginning after December 15, 2027. The Company is currently evaluating the impact of this guidance but does not anticipate a material impact on its condensed consolidated financial statements or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No.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xml:space="preserve"> which prescribes standardized categories and enhanced disaggregation of information in the rate reconciliation, requires disclosure of disaggregated income taxes paid, and modifies certain other income tax-related disclosure requirements. The standard is effective for fiscal years beginning after December 15, 2024, and was adopted by the Company in its fiscal year 2025 annual reporting period. The Company evaluated the impact of adopting this guidance and because it continues to operate in a loss position and does not pay income taxes, the adoption did not have a material impact on its condensed consolidated financial statements or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No. 2024-04, </w:t>
      </w:r>
      <w:r>
        <w:rPr>
          <w:rFonts w:ascii="Times New Roman;Times;Serif" w:hAnsi="Times New Roman;Times;Serif"/>
          <w:b w:val="false"/>
          <w:i/>
          <w:caps w:val="false"/>
          <w:smallCaps w:val="false"/>
          <w:sz w:val="20"/>
        </w:rPr>
        <w:t>Debt—Debt with Conversion and Other Options (Subtopic 470-20): Clarifications to Accounting for Certain Convertible Debt Instruments</w:t>
      </w:r>
      <w:r>
        <w:rPr>
          <w:rFonts w:ascii="Times New Roman;Times;Serif" w:hAnsi="Times New Roman;Times;Serif"/>
          <w:b w:val="false"/>
          <w:i w:val="false"/>
          <w:caps w:val="false"/>
          <w:smallCaps w:val="false"/>
          <w:sz w:val="20"/>
        </w:rPr>
        <w:t>, which amends ASC 470-20 to clarify the requirements related to accounting for the settlement of a debt instrument as an induced conversion. The ASU is intended to improve the relevance and consistency in application of the induced conversion guidance in ASC 470-20 for (a) convertible debt instruments with cash conversion features and (b) debt instruments that are not currently convertible. The ASU removes references limiting induced conversion guidance to settlements in equity, thereby clarifying that the guidance may apply to conversions settled in equity, cash (or other assets), or a combination thereof. It also clarifies that, to qualify for induced conversion accounting, (i) the inducement offer must preserve the form and amount of consideration issuable under the original conversion privileges, (ii) the instrument must contain a substantive conversion feature at issuance and on the date the inducement offer is accepted, and (iii) the conversion must result from changed conversion privileges exercisable only for a limited period. The ASU further provides implementation guidance and examples, and clarifies that inducement expense is measured as the excess of the fair value of the consideration transferred over the fair value of the consideration issuable under the original conversion terms. The amendments in ASU No. 2024-04 are effective for fiscal years beginning after December 15, 2025, including interim periods within those fiscal years. As of June 30, 2026, the guidance did  not have an impact on the Company, as there have been no modifications to the original conversion terms of its convertible debt instruments to induce holders to convert their holdings into equity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accounting standards described above, the Company did not adopt any new accounting standards during the three and six months ended June 30, 2026 that had a material impact on its condensed consolidated financial statements. The Company has reviewed all recently issued accounting pronouncements and determined that no other standards adopted during the periods materially affected its condensed consolidated financial position, results of operations, cash flows, or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reviewed for impairment whenever events or changes in circumstances indicate that the carrying amount of an asset or asset group may not be recoverable. Recoverability of assets to be held and used is assessed by comparing the carrying amount of the asset or asset group with the undiscounted future cash flows expected to result from its use and eventual disposition. If the carrying amount exceeds the expected undiscounted future cash flows, an impairment loss is recognized to the extent that the carrying amount exceeds the fair value of the asset or asset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identified impairment indicators related to its long-lived assets and performed a recoverability assessment. Based on the assessment, the estimated undiscounted future cash flows exceeded the carrying amount of the related asset group and, accordingly, no impairment loss was recognized. As of December 31, 2025, no indicators of impairment were identified and no impairment loss was recognized.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Revisions and Reclassifications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revisions and reclassifications have been made to amounts in prior years’ financial statements and notes to the financial statements to conform to current year presentation. These revisions and reclassifications had no impact on total loss from operations, net loss, or shareholders’ equity (deficit) for any period presented (See Note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3 – Reverse Stock Split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12, 2026, at the Company’s annual meeting of stockholders, the Company’s stockholders approved an amendment to the Company’s Amended and Restated Certificate of Incorporation authorizing the Board of Directors (the “Board”) to effect one or more reverse stock splits of the Company’s common stock at a ratio ranging from 1-for-10 to 1-for-25, with the exact ratio to be determined by the Board in its sole discretion. The Board subsequently approved a 1-for-25 reverse stock split (the “Reverse Stock Split”).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the Company filed a Certificate of Amendment to its Amended and Restated Certificate of Incorporation with the Secretary of State of the State of Delaware to effect the Reverse Stock Split. The Reverse Stock Split became effective at 4:01 p.m. Eastern Time on May 29, 2026. The Company’s common stock began trading on a split-adjusted basis on The Nasdaq Stock Market LLC at the market open on June 1, 2026 under the existing trading symbol “DAIC” and a new CUSIP number of 171756208.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Reverse Stock Split, every 25 shares of common stock issued and outstanding or held as treasury stock immediately prior to the effective time were automatically reclassified and combined into one share of common stock, without any action required by the respective stockholders. The Reverse Stock Split reduced the number of shares of common stock outstanding from approximately 30.26 million shares to approximately 1.21 million shares. The par value of the Company’s common stock remained unchanged at $0.0001 per share, and the Reverse Stock Split did not affect the number of shares of common stock authorized under the Company’s Certificate of Incorporation.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were issued in connection with the Reverse Stock Split. Any fractional shares resulting from the Reverse Stock Split were rounded down to the nearest whole share, and stockholders were entitled to receive cash in lieu of such fractional shares based on the fair value of the Company’s common stock immediately prior to the effective time, as determined by the Board. In connection with the settlement of fractional shares, the Company paid a de minimus amount to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did not affect the Company’s total assets, total liabilities, or total stockholders’ equity, except for the immaterial effect of cash paid in lieu of fractional shares. The reduction in the par value of issued and outstanding common stock resulting from the reduction in the number of shares outstanding was reclassified to additional paid-in capital. All share and per-share amounts presented in the accompanying condensed consolidated financial statements and related notes have been retrospectively adjusted, where applicable, to reflect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Business Combination and Reverse Recapitalization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the Company entered into a Business Combination Agreement with ShoulderUp, ShoulderUp Merger Sub, Inc., SEI Merger Sub, Inc. and the Legacy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18, 2025, the Company consummated its Business Combination pursuant to the terms of the Business Combination Agreement. The Business Combination was structured as follows. All share and per-share amounts below have been adjusted to give effect to the Company’s 1-for-25 reverse stock split, effective May 29, 2026: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At the Closing, each ordinary share of ShoulderUp that was not redeemed or converted was exchanged for one share of CID Holdco Inc. Common Stock. Each issued and outstanding unit of ShoulderUp (“Unit”) was automatically separated into (i) one ordinary share and (ii) one-half of one warrant. Each whole warrant is exercisable to purchase one ordinary share at an exercise price of $287.50 per share.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506,589 shares of Common Stock were issued to the public shareholders of ShoulderUp at Closing, equivalent to approximately 20,264 shares after giving effect to the 1-for-25 reverse stock split. An additional 6,698,333 shares were issued to ShoulderUp’s officers and directors, ShoulderUp Technology Sponsor LLC (the “Sponsor”), and transferees of founder shares, equivalent to approximately 267,933 shares on a post-split basis.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1,345,001 shares of Common Stock were issued to certain original public shareholders who had previously agreed not to redeem their shares, equivalent to approximately 53,800 shares after giving effect to the reverse stock split.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482,500 shares of Common Stock were issued to holders of the ShoulderUp bridge loan to partially settle the outstanding loan balance at Closing, equivalent to 19,300 shares after giving effect to the reverse stock split. In addition, 150,000 shares were issued to legal services provider DLA Piper LLP to partially settle outstanding service fees pursuant to the Expense Release and Payment Agreement executed on June 3, 2025, equivalent to 6,000 shares on a post-split basis.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All 108,975,000 shares of SEE ID Common Stock issued and outstanding immediately prior to the Closing were canceled and converted into 12,210,718 shares of the Company’s Common Stock pursuant to the applicable exchange ratio of 0.11205. Following the 1-for-25 reverse stock split, such shares were adjusted to approximately 488,429 shares of Common Stock.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2,909,057 shares of Common Stock were issued to the SEE ID SAFE note holders, equivalent to approximately 116,362 shares after giving effect to the reverse stock split.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11,205 shares of Common Stock were issued in exchange for financial advisory services at Closing, equivalent to approximately 448 shares after giving effect to the reverse stock split.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3,323,536 shares of Common Stock were issued to three major PIPE investors, equivalent to approximately 132,942 shares after giving effect to the reverse stock split.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Company assumed 15,654,983 public and private warrants of ShoulderUp, net of 20,017 forfeitures. Following the 1-for-25 reverse stock split, the number of shares of Common Stock underlying such warrants was proportionately adjusted to approximately 626,199 shares, and the exercise price was adjusted from $11.50 per (Pre-split) share to $287.50 per post-split share.</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Closing, certain public shareholders of ShoulderUp exercised their rights to redeem certain ordinary shares for funds previously held in the trust account, resulting in the redemption of 2,000 ordinary shares for an aggregate payment of approximately $22,019. After redemptions, there was a total of 506,589 ordinary shares, which were converted into Common Stock in connection with the Business Combination, and approximately $5.58 million remained in the trust account. After giving effect to the 1-for-25 reverse stock split effective May 29, 2026, such 506,589 shares were adjusted to approximately 20,264 shares of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Ownership Upon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issued in connection with the Business Combination and subsequent equity conversion was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01"/>
        <w:gridCol w:w="60"/>
        <w:gridCol w:w="60"/>
        <w:gridCol w:w="1100"/>
        <w:gridCol w:w="95"/>
        <w:gridCol w:w="60"/>
        <w:gridCol w:w="69"/>
        <w:gridCol w:w="1148"/>
        <w:gridCol w:w="112"/>
      </w:tblGrid>
      <w:tr>
        <w:trPr/>
        <w:tc>
          <w:tcPr>
            <w:tcW w:w="75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 at</w:t>
              <w:br/>
              <w:t>Closing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 After</w:t>
              <w:br/>
              <w:t>1-for-25</w:t>
              <w:br/>
              <w:t xml:space="preserve">Reverse </w:t>
              <w:br/>
              <w:t>Stock Split</w:t>
            </w:r>
          </w:p>
        </w:tc>
        <w:tc>
          <w:tcPr>
            <w:tcW w:w="112" w:type="dxa"/>
            <w:tcBorders/>
            <w:vAlign w:val="center"/>
          </w:tcPr>
          <w:p>
            <w:pPr>
              <w:pStyle w:val="TableContents"/>
              <w:bidi w:val="0"/>
              <w:spacing w:before="0" w:after="283"/>
              <w:jc w:val="left"/>
              <w:rPr/>
            </w:pPr>
            <w:r>
              <w:rPr/>
              <w:t> </w:t>
            </w:r>
          </w:p>
        </w:tc>
      </w:tr>
      <w:tr>
        <w:trPr/>
        <w:tc>
          <w:tcPr>
            <w:tcW w:w="7501" w:type="dxa"/>
            <w:tcBorders/>
            <w:shd w:fill="CCEEFF" w:val="clear"/>
            <w:vAlign w:val="center"/>
          </w:tcPr>
          <w:p>
            <w:pPr>
              <w:pStyle w:val="TableContents"/>
              <w:bidi w:val="0"/>
              <w:spacing w:before="0" w:after="283"/>
              <w:jc w:val="left"/>
              <w:rPr/>
            </w:pPr>
            <w:r>
              <w:rPr/>
              <w:t>Ordinary shares, outstanding prior to the Business Combination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508,589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20,344</w:t>
            </w:r>
          </w:p>
        </w:tc>
        <w:tc>
          <w:tcPr>
            <w:tcW w:w="112" w:type="dxa"/>
            <w:tcBorders/>
            <w:shd w:fill="CCEEFF" w:val="clear"/>
            <w:vAlign w:val="center"/>
          </w:tcPr>
          <w:p>
            <w:pPr>
              <w:pStyle w:val="TableContents"/>
              <w:bidi w:val="0"/>
              <w:spacing w:before="0" w:after="283"/>
              <w:jc w:val="left"/>
              <w:rPr/>
            </w:pPr>
            <w:r>
              <w:rPr/>
              <w:t> </w:t>
            </w:r>
          </w:p>
        </w:tc>
      </w:tr>
      <w:tr>
        <w:trPr/>
        <w:tc>
          <w:tcPr>
            <w:tcW w:w="7501" w:type="dxa"/>
            <w:tcBorders/>
            <w:shd w:fill="FFFFFF" w:val="clear"/>
            <w:vAlign w:val="center"/>
          </w:tcPr>
          <w:p>
            <w:pPr>
              <w:pStyle w:val="TableContents"/>
              <w:bidi w:val="0"/>
              <w:spacing w:before="0" w:after="283"/>
              <w:jc w:val="left"/>
              <w:rPr/>
            </w:pPr>
            <w:r>
              <w:rPr/>
              <w:t>Less: Redemption of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(80</w:t>
            </w:r>
          </w:p>
        </w:tc>
        <w:tc>
          <w:tcPr>
            <w:tcW w:w="112" w:type="dxa"/>
            <w:tcBorders/>
            <w:shd w:fill="FFFFFF" w:val="clear"/>
            <w:vAlign w:val="center"/>
          </w:tcPr>
          <w:p>
            <w:pPr>
              <w:pStyle w:val="TableContents"/>
              <w:bidi w:val="0"/>
              <w:spacing w:before="0" w:after="283"/>
              <w:jc w:val="left"/>
              <w:rPr/>
            </w:pPr>
            <w:r>
              <w:rPr/>
              <w:t>)</w:t>
            </w:r>
          </w:p>
        </w:tc>
      </w:tr>
      <w:tr>
        <w:trPr/>
        <w:tc>
          <w:tcPr>
            <w:tcW w:w="7501" w:type="dxa"/>
            <w:tcBorders/>
            <w:shd w:fill="CCEEFF" w:val="clear"/>
            <w:vAlign w:val="center"/>
          </w:tcPr>
          <w:p>
            <w:pPr>
              <w:pStyle w:val="TableContents"/>
              <w:bidi w:val="0"/>
              <w:spacing w:before="0" w:after="283"/>
              <w:jc w:val="left"/>
              <w:rPr/>
            </w:pPr>
            <w:r>
              <w:rPr/>
              <w:t>Ordinary shares held by ShoulderUp’s officers and directors, the Sponsor and each transferee of founder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6,698,333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267,933</w:t>
            </w:r>
          </w:p>
        </w:tc>
        <w:tc>
          <w:tcPr>
            <w:tcW w:w="112" w:type="dxa"/>
            <w:tcBorders/>
            <w:shd w:fill="CCEEFF" w:val="clear"/>
            <w:vAlign w:val="center"/>
          </w:tcPr>
          <w:p>
            <w:pPr>
              <w:pStyle w:val="TableContents"/>
              <w:bidi w:val="0"/>
              <w:spacing w:before="0" w:after="283"/>
              <w:jc w:val="left"/>
              <w:rPr/>
            </w:pPr>
            <w:r>
              <w:rPr/>
              <w:t> </w:t>
            </w:r>
          </w:p>
        </w:tc>
      </w:tr>
      <w:tr>
        <w:trPr/>
        <w:tc>
          <w:tcPr>
            <w:tcW w:w="7501" w:type="dxa"/>
            <w:tcBorders/>
            <w:shd w:fill="FFFFFF" w:val="clear"/>
            <w:vAlign w:val="center"/>
          </w:tcPr>
          <w:p>
            <w:pPr>
              <w:pStyle w:val="TableContents"/>
              <w:bidi w:val="0"/>
              <w:spacing w:before="0" w:after="283"/>
              <w:jc w:val="left"/>
              <w:rPr/>
            </w:pPr>
            <w:r>
              <w:rPr/>
              <w:t>Ordinary shares held by non-redemption share 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1,345,001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53,800</w:t>
            </w:r>
          </w:p>
        </w:tc>
        <w:tc>
          <w:tcPr>
            <w:tcW w:w="112" w:type="dxa"/>
            <w:tcBorders/>
            <w:shd w:fill="FFFFFF" w:val="clear"/>
            <w:vAlign w:val="center"/>
          </w:tcPr>
          <w:p>
            <w:pPr>
              <w:pStyle w:val="TableContents"/>
              <w:bidi w:val="0"/>
              <w:spacing w:before="0" w:after="283"/>
              <w:jc w:val="left"/>
              <w:rPr/>
            </w:pPr>
            <w:r>
              <w:rPr/>
              <w:t> </w:t>
            </w:r>
          </w:p>
        </w:tc>
      </w:tr>
      <w:tr>
        <w:trPr/>
        <w:tc>
          <w:tcPr>
            <w:tcW w:w="7501" w:type="dxa"/>
            <w:tcBorders/>
            <w:shd w:fill="CCEEFF" w:val="clear"/>
            <w:vAlign w:val="center"/>
          </w:tcPr>
          <w:p>
            <w:pPr>
              <w:pStyle w:val="TableContents"/>
              <w:bidi w:val="0"/>
              <w:spacing w:before="0" w:after="283"/>
              <w:jc w:val="left"/>
              <w:rPr/>
            </w:pPr>
            <w:r>
              <w:rPr/>
              <w:t>Ordinary shares held by ShoulderUp bridge loan holder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19,300</w:t>
            </w:r>
          </w:p>
        </w:tc>
        <w:tc>
          <w:tcPr>
            <w:tcW w:w="112" w:type="dxa"/>
            <w:tcBorders/>
            <w:shd w:fill="CCEEFF" w:val="clear"/>
            <w:vAlign w:val="center"/>
          </w:tcPr>
          <w:p>
            <w:pPr>
              <w:pStyle w:val="TableContents"/>
              <w:bidi w:val="0"/>
              <w:spacing w:before="0" w:after="283"/>
              <w:jc w:val="left"/>
              <w:rPr/>
            </w:pPr>
            <w:r>
              <w:rPr/>
              <w:t> </w:t>
            </w:r>
          </w:p>
        </w:tc>
      </w:tr>
      <w:tr>
        <w:trPr/>
        <w:tc>
          <w:tcPr>
            <w:tcW w:w="7501" w:type="dxa"/>
            <w:tcBorders/>
            <w:shd w:fill="FFFFFF" w:val="clear"/>
            <w:vAlign w:val="center"/>
          </w:tcPr>
          <w:p>
            <w:pPr>
              <w:pStyle w:val="TableContents"/>
              <w:bidi w:val="0"/>
              <w:spacing w:before="0" w:after="283"/>
              <w:jc w:val="left"/>
              <w:rPr/>
            </w:pPr>
            <w:r>
              <w:rPr/>
              <w:t>Ordinary shares held by DLA Piper, LLP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6,000</w:t>
            </w:r>
          </w:p>
        </w:tc>
        <w:tc>
          <w:tcPr>
            <w:tcW w:w="112" w:type="dxa"/>
            <w:tcBorders/>
            <w:shd w:fill="FFFFFF" w:val="clear"/>
            <w:vAlign w:val="center"/>
          </w:tcPr>
          <w:p>
            <w:pPr>
              <w:pStyle w:val="TableContents"/>
              <w:bidi w:val="0"/>
              <w:spacing w:before="0" w:after="283"/>
              <w:jc w:val="left"/>
              <w:rPr/>
            </w:pPr>
            <w:r>
              <w:rPr/>
              <w:t> </w:t>
            </w:r>
          </w:p>
        </w:tc>
      </w:tr>
      <w:tr>
        <w:trPr/>
        <w:tc>
          <w:tcPr>
            <w:tcW w:w="7501" w:type="dxa"/>
            <w:tcBorders/>
            <w:shd w:fill="CCEEFF" w:val="clear"/>
            <w:vAlign w:val="center"/>
          </w:tcPr>
          <w:p>
            <w:pPr>
              <w:pStyle w:val="TableContents"/>
              <w:bidi w:val="0"/>
              <w:spacing w:before="0" w:after="283"/>
              <w:jc w:val="left"/>
              <w:rPr/>
            </w:pPr>
            <w:r>
              <w:rPr/>
              <w:t>Common Stock issued to holders of SEE ID Inc.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12,210,718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488,429</w:t>
            </w:r>
          </w:p>
        </w:tc>
        <w:tc>
          <w:tcPr>
            <w:tcW w:w="112" w:type="dxa"/>
            <w:tcBorders/>
            <w:shd w:fill="CCEEFF" w:val="clear"/>
            <w:vAlign w:val="center"/>
          </w:tcPr>
          <w:p>
            <w:pPr>
              <w:pStyle w:val="TableContents"/>
              <w:bidi w:val="0"/>
              <w:spacing w:before="0" w:after="283"/>
              <w:jc w:val="left"/>
              <w:rPr/>
            </w:pPr>
            <w:r>
              <w:rPr/>
              <w:t> </w:t>
            </w:r>
          </w:p>
        </w:tc>
      </w:tr>
      <w:tr>
        <w:trPr/>
        <w:tc>
          <w:tcPr>
            <w:tcW w:w="7501" w:type="dxa"/>
            <w:tcBorders/>
            <w:shd w:fill="FFFFFF" w:val="clear"/>
            <w:vAlign w:val="center"/>
          </w:tcPr>
          <w:p>
            <w:pPr>
              <w:pStyle w:val="TableContents"/>
              <w:bidi w:val="0"/>
              <w:spacing w:before="0" w:after="283"/>
              <w:jc w:val="left"/>
              <w:rPr/>
            </w:pPr>
            <w:r>
              <w:rPr/>
              <w:t>Common Stock issued to SEE ID SAFE note 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2,909,057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116,362</w:t>
            </w:r>
          </w:p>
        </w:tc>
        <w:tc>
          <w:tcPr>
            <w:tcW w:w="112" w:type="dxa"/>
            <w:tcBorders/>
            <w:shd w:fill="FFFFFF" w:val="clear"/>
            <w:vAlign w:val="center"/>
          </w:tcPr>
          <w:p>
            <w:pPr>
              <w:pStyle w:val="TableContents"/>
              <w:bidi w:val="0"/>
              <w:spacing w:before="0" w:after="283"/>
              <w:jc w:val="left"/>
              <w:rPr/>
            </w:pPr>
            <w:r>
              <w:rPr/>
              <w:t> </w:t>
            </w:r>
          </w:p>
        </w:tc>
      </w:tr>
      <w:tr>
        <w:trPr/>
        <w:tc>
          <w:tcPr>
            <w:tcW w:w="7501" w:type="dxa"/>
            <w:tcBorders/>
            <w:shd w:fill="CCEEFF" w:val="clear"/>
            <w:vAlign w:val="center"/>
          </w:tcPr>
          <w:p>
            <w:pPr>
              <w:pStyle w:val="TableContents"/>
              <w:bidi w:val="0"/>
              <w:spacing w:before="0" w:after="283"/>
              <w:jc w:val="left"/>
              <w:rPr/>
            </w:pPr>
            <w:r>
              <w:rPr/>
              <w:t>Common Stock issued to StartUpNV</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448</w:t>
            </w:r>
          </w:p>
        </w:tc>
        <w:tc>
          <w:tcPr>
            <w:tcW w:w="112" w:type="dxa"/>
            <w:tcBorders/>
            <w:shd w:fill="CCEEFF" w:val="clear"/>
            <w:vAlign w:val="center"/>
          </w:tcPr>
          <w:p>
            <w:pPr>
              <w:pStyle w:val="TableContents"/>
              <w:bidi w:val="0"/>
              <w:spacing w:before="0" w:after="283"/>
              <w:jc w:val="left"/>
              <w:rPr/>
            </w:pPr>
            <w:r>
              <w:rPr/>
              <w:t> </w:t>
            </w:r>
          </w:p>
        </w:tc>
      </w:tr>
      <w:tr>
        <w:trPr/>
        <w:tc>
          <w:tcPr>
            <w:tcW w:w="7501" w:type="dxa"/>
            <w:tcBorders/>
            <w:shd w:fill="FFFFFF" w:val="clear"/>
            <w:vAlign w:val="center"/>
          </w:tcPr>
          <w:p>
            <w:pPr>
              <w:pStyle w:val="TableContents"/>
              <w:bidi w:val="0"/>
              <w:spacing w:before="0" w:after="283"/>
              <w:jc w:val="left"/>
              <w:rPr/>
            </w:pPr>
            <w:r>
              <w:rPr/>
              <w:t>Common Stock issued to PIPE investors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3,323,536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single" w:sz="12" w:space="0" w:color="000000"/>
            </w:tcBorders>
            <w:shd w:fill="FFFFFF" w:val="clear"/>
            <w:tcMar>
              <w:bottom w:w="28" w:type="dxa"/>
            </w:tcMar>
            <w:vAlign w:val="center"/>
          </w:tcPr>
          <w:p>
            <w:pPr>
              <w:pStyle w:val="TableContents"/>
              <w:bidi w:val="0"/>
              <w:spacing w:before="0" w:after="283"/>
              <w:jc w:val="right"/>
              <w:rPr/>
            </w:pPr>
            <w:r>
              <w:rPr/>
              <w:t>132,942</w:t>
            </w:r>
          </w:p>
        </w:tc>
        <w:tc>
          <w:tcPr>
            <w:tcW w:w="112" w:type="dxa"/>
            <w:tcBorders/>
            <w:shd w:fill="FFFFFF" w:val="clear"/>
            <w:vAlign w:val="center"/>
          </w:tcPr>
          <w:p>
            <w:pPr>
              <w:pStyle w:val="TableContents"/>
              <w:bidi w:val="0"/>
              <w:spacing w:before="0" w:after="283"/>
              <w:jc w:val="left"/>
              <w:rPr/>
            </w:pPr>
            <w:r>
              <w:rPr/>
              <w:t> </w:t>
            </w:r>
          </w:p>
        </w:tc>
      </w:tr>
      <w:tr>
        <w:trPr/>
        <w:tc>
          <w:tcPr>
            <w:tcW w:w="7501" w:type="dxa"/>
            <w:tcBorders/>
            <w:shd w:fill="CCEEFF" w:val="clear"/>
            <w:vAlign w:val="center"/>
          </w:tcPr>
          <w:p>
            <w:pPr>
              <w:pStyle w:val="TableContents"/>
              <w:bidi w:val="0"/>
              <w:spacing w:before="0" w:after="283"/>
              <w:jc w:val="left"/>
              <w:rPr/>
            </w:pPr>
            <w:r>
              <w:rPr/>
              <w:t>Common Stock Upon the Business Combination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27,636,939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double" w:sz="10" w:space="0" w:color="000000"/>
            </w:tcBorders>
            <w:shd w:fill="CCEEFF" w:val="clear"/>
            <w:tcMar>
              <w:bottom w:w="28" w:type="dxa"/>
            </w:tcMar>
            <w:vAlign w:val="center"/>
          </w:tcPr>
          <w:p>
            <w:pPr>
              <w:pStyle w:val="TableContents"/>
              <w:bidi w:val="0"/>
              <w:spacing w:before="0" w:after="283"/>
              <w:jc w:val="right"/>
              <w:rPr/>
            </w:pPr>
            <w:r>
              <w:rPr/>
              <w:t>1,105,478</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post-reverse stock split amounts presented above give effect to the Company’s 1-for-25 reverse stock split, effective May 29, 2026. Pursuant to the terms of the reverse stock split, no fractional shares were issued. Any fractional shares resulting from the reverse stock split were rounded down to the nearest whole share, and the Company paid a de minimis amount of cash in lieu of such fractional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Legacy Company incurred $2,726,183 in transaction costs in connection with the Business Combination, which was determined not to be a capital-raising transaction for the Legacy Company. The $2,726,183 consists of the following: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$1,003,500 in assumed expenses from ShoulderUp for financial advisory services provided by Cohen Capital Markets;</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7"/>
        <w:gridCol w:w="244"/>
        <w:gridCol w:w="9854"/>
      </w:tblGrid>
      <w:tr>
        <w:trPr/>
        <w:tc>
          <w:tcPr>
            <w:tcW w:w="1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w:t>
            </w:r>
          </w:p>
        </w:tc>
        <w:tc>
          <w:tcPr>
            <w:tcW w:w="9854" w:type="dxa"/>
            <w:tcBorders/>
            <w:vAlign w:val="center"/>
          </w:tcPr>
          <w:p>
            <w:pPr>
              <w:pStyle w:val="TableContents"/>
              <w:bidi w:val="0"/>
              <w:spacing w:before="0" w:after="283"/>
              <w:jc w:val="left"/>
              <w:rPr/>
            </w:pPr>
            <w:r>
              <w:rPr/>
              <w:t>$156,870 for financial advisory services provided by a financial advisor;</w:t>
            </w:r>
          </w:p>
        </w:tc>
      </w:tr>
      <w:tr>
        <w:trPr/>
        <w:tc>
          <w:tcPr>
            <w:tcW w:w="107"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854"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8"/>
        <w:gridCol w:w="246"/>
        <w:gridCol w:w="9851"/>
      </w:tblGrid>
      <w:tr>
        <w:trPr/>
        <w:tc>
          <w:tcPr>
            <w:tcW w:w="10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w:t>
            </w:r>
          </w:p>
        </w:tc>
        <w:tc>
          <w:tcPr>
            <w:tcW w:w="9851" w:type="dxa"/>
            <w:tcBorders/>
            <w:vAlign w:val="center"/>
          </w:tcPr>
          <w:p>
            <w:pPr>
              <w:pStyle w:val="TableContents"/>
              <w:bidi w:val="0"/>
              <w:spacing w:before="0" w:after="283"/>
              <w:jc w:val="left"/>
              <w:rPr/>
            </w:pPr>
            <w:r>
              <w:rPr/>
              <w:t>$295,000 in registration fees paid to Nasdaq Corporate Solutions, LLC;</w:t>
            </w:r>
          </w:p>
        </w:tc>
      </w:tr>
      <w:tr>
        <w:trPr/>
        <w:tc>
          <w:tcPr>
            <w:tcW w:w="108"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85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32"/>
        <w:gridCol w:w="302"/>
        <w:gridCol w:w="9771"/>
      </w:tblGrid>
      <w:tr>
        <w:trPr/>
        <w:tc>
          <w:tcPr>
            <w:tcW w:w="13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w:t>
            </w:r>
          </w:p>
        </w:tc>
        <w:tc>
          <w:tcPr>
            <w:tcW w:w="9771" w:type="dxa"/>
            <w:tcBorders/>
            <w:vAlign w:val="center"/>
          </w:tcPr>
          <w:p>
            <w:pPr>
              <w:pStyle w:val="TableContents"/>
              <w:bidi w:val="0"/>
              <w:spacing w:before="0" w:after="283"/>
              <w:jc w:val="left"/>
              <w:rPr/>
            </w:pPr>
            <w:r>
              <w:rPr/>
              <w:t>$271,079 paid to Continental Stock Transfer &amp; Trust Co.;</w:t>
            </w:r>
          </w:p>
        </w:tc>
      </w:tr>
      <w:tr>
        <w:trPr/>
        <w:tc>
          <w:tcPr>
            <w:tcW w:w="132"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977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77"/>
        <w:gridCol w:w="404"/>
        <w:gridCol w:w="9624"/>
      </w:tblGrid>
      <w:tr>
        <w:trPr/>
        <w:tc>
          <w:tcPr>
            <w:tcW w:w="17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pPr>
            <w:r>
              <w:rPr/>
              <w:t>●</w:t>
            </w:r>
          </w:p>
        </w:tc>
        <w:tc>
          <w:tcPr>
            <w:tcW w:w="9624" w:type="dxa"/>
            <w:tcBorders/>
            <w:vAlign w:val="center"/>
          </w:tcPr>
          <w:p>
            <w:pPr>
              <w:pStyle w:val="TableContents"/>
              <w:bidi w:val="0"/>
              <w:spacing w:before="0" w:after="283"/>
              <w:jc w:val="left"/>
              <w:rPr/>
            </w:pPr>
            <w:r>
              <w:rPr/>
              <w:t>$126,812 paid to Edgar Agents, LLC; and</w:t>
            </w:r>
          </w:p>
        </w:tc>
      </w:tr>
      <w:tr>
        <w:trPr/>
        <w:tc>
          <w:tcPr>
            <w:tcW w:w="177"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left"/>
              <w:rPr/>
            </w:pPr>
            <w:r>
              <w:rPr/>
              <w:t> </w:t>
            </w:r>
          </w:p>
        </w:tc>
        <w:tc>
          <w:tcPr>
            <w:tcW w:w="9624"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3"/>
        <w:gridCol w:w="197"/>
        <w:gridCol w:w="9965"/>
      </w:tblGrid>
      <w:tr>
        <w:trPr/>
        <w:tc>
          <w:tcPr>
            <w:tcW w:w="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left"/>
              <w:rPr/>
            </w:pPr>
            <w:r>
              <w:rPr/>
              <w:t>$872,922 in bonus expenses related to the successful closing of the Business Combination.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reconcile elements of the Business Combination to the Company’s condensed consolidated financial statements, and should be read in conjunction with the footnotes referenced above:</w:t>
      </w:r>
    </w:p>
    <w:p>
      <w:pPr>
        <w:pStyle w:val="TextBody"/>
        <w:bidi w:val="0"/>
        <w:spacing w:before="0" w:after="0"/>
        <w:ind w:left="0" w:right="0" w:hanging="0"/>
        <w:jc w:val="left"/>
        <w:rPr>
          <w:caps w:val="false"/>
          <w:smallCaps w:val="false"/>
        </w:rPr>
      </w:pPr>
      <w:r>
        <w:rPr>
          <w:caps w:val="false"/>
          <w:smallCaps w:val="false"/>
        </w:rPr>
        <w:t> </w:t>
      </w:r>
    </w:p>
    <w:tbl>
      <w:tblPr>
        <w:tblW w:w="8670" w:type="dxa"/>
        <w:jc w:val="left"/>
        <w:tblInd w:w="0" w:type="dxa"/>
        <w:tblLayout w:type="fixed"/>
        <w:tblCellMar>
          <w:top w:w="0" w:type="dxa"/>
          <w:left w:w="0" w:type="dxa"/>
          <w:bottom w:w="0" w:type="dxa"/>
          <w:right w:w="0" w:type="dxa"/>
        </w:tblCellMar>
      </w:tblPr>
      <w:tblGrid>
        <w:gridCol w:w="6845"/>
        <w:gridCol w:w="60"/>
        <w:gridCol w:w="186"/>
        <w:gridCol w:w="1469"/>
        <w:gridCol w:w="110"/>
      </w:tblGrid>
      <w:tr>
        <w:trPr/>
        <w:tc>
          <w:tcPr>
            <w:tcW w:w="6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Recapitalization</w:t>
            </w:r>
          </w:p>
        </w:tc>
        <w:tc>
          <w:tcPr>
            <w:tcW w:w="110" w:type="dxa"/>
            <w:tcBorders/>
            <w:vAlign w:val="center"/>
          </w:tcPr>
          <w:p>
            <w:pPr>
              <w:pStyle w:val="TableContents"/>
              <w:bidi w:val="0"/>
              <w:spacing w:before="0" w:after="283"/>
              <w:jc w:val="left"/>
              <w:rPr/>
            </w:pPr>
            <w:r>
              <w:rPr/>
              <w:t> </w:t>
            </w:r>
          </w:p>
        </w:tc>
      </w:tr>
      <w:tr>
        <w:trPr/>
        <w:tc>
          <w:tcPr>
            <w:tcW w:w="6845" w:type="dxa"/>
            <w:tcBorders/>
            <w:vAlign w:val="center"/>
          </w:tcPr>
          <w:p>
            <w:pPr>
              <w:pStyle w:val="TableContents"/>
              <w:bidi w:val="0"/>
              <w:spacing w:before="0" w:after="283"/>
              <w:jc w:val="left"/>
              <w:rPr/>
            </w:pPr>
            <w:r>
              <w:rPr/>
              <w:t>Closing proceeds</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Proceeds from Trust account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469" w:type="dxa"/>
            <w:tcBorders/>
            <w:shd w:fill="CCEEFF" w:val="clear"/>
            <w:vAlign w:val="center"/>
          </w:tcPr>
          <w:p>
            <w:pPr>
              <w:pStyle w:val="TableContents"/>
              <w:bidi w:val="0"/>
              <w:spacing w:before="0" w:after="283"/>
              <w:jc w:val="right"/>
              <w:rPr/>
            </w:pPr>
            <w:r>
              <w:rPr/>
              <w:t>5,577,304</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Proceeds from PIPE investors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10,837,643</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Proceeds from legacy ShoulderUp bank accounts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74,501</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Closing disbursements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Less: Payment to purchase founder shares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9" w:type="dxa"/>
            <w:tcBorders>
              <w:bottom w:val="single" w:sz="12" w:space="0" w:color="000000"/>
            </w:tcBorders>
            <w:shd w:fill="CCEEFF" w:val="clear"/>
            <w:tcMar>
              <w:bottom w:w="28" w:type="dxa"/>
            </w:tcMar>
            <w:vAlign w:val="center"/>
          </w:tcPr>
          <w:p>
            <w:pPr>
              <w:pStyle w:val="TableContents"/>
              <w:bidi w:val="0"/>
              <w:spacing w:before="0" w:after="283"/>
              <w:jc w:val="right"/>
              <w:rPr/>
            </w:pPr>
            <w:r>
              <w:rPr/>
              <w:t>(5,000,000</w:t>
            </w:r>
          </w:p>
        </w:tc>
        <w:tc>
          <w:tcPr>
            <w:tcW w:w="110" w:type="dxa"/>
            <w:tcBorders/>
            <w:shd w:fill="CCEEFF" w:val="clear"/>
            <w:vAlign w:val="center"/>
          </w:tcPr>
          <w:p>
            <w:pPr>
              <w:pStyle w:val="TableContents"/>
              <w:bidi w:val="0"/>
              <w:spacing w:before="0" w:after="283"/>
              <w:jc w:val="left"/>
              <w:rPr/>
            </w:pPr>
            <w:r>
              <w:rPr/>
              <w:t>)</w:t>
            </w:r>
          </w:p>
        </w:tc>
      </w:tr>
      <w:tr>
        <w:trPr/>
        <w:tc>
          <w:tcPr>
            <w:tcW w:w="6845" w:type="dxa"/>
            <w:tcBorders/>
            <w:shd w:fill="FFFFFF" w:val="clear"/>
            <w:vAlign w:val="center"/>
          </w:tcPr>
          <w:p>
            <w:pPr>
              <w:pStyle w:val="TableContents"/>
              <w:bidi w:val="0"/>
              <w:spacing w:before="0" w:after="283"/>
              <w:jc w:val="left"/>
              <w:rPr>
                <w:b/>
              </w:rPr>
            </w:pPr>
            <w:r>
              <w:rPr>
                <w:b/>
              </w:rPr>
              <w:t>Net cash proceeds from the Business Combination</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469" w:type="dxa"/>
            <w:tcBorders>
              <w:bottom w:val="single" w:sz="12" w:space="0" w:color="000000"/>
            </w:tcBorders>
            <w:shd w:fill="FFFFFF" w:val="clear"/>
            <w:tcMar>
              <w:bottom w:w="28" w:type="dxa"/>
            </w:tcMar>
            <w:vAlign w:val="center"/>
          </w:tcPr>
          <w:p>
            <w:pPr>
              <w:pStyle w:val="TableContents"/>
              <w:bidi w:val="0"/>
              <w:spacing w:before="0" w:after="283"/>
              <w:jc w:val="right"/>
              <w:rPr/>
            </w:pPr>
            <w:r>
              <w:rPr/>
              <w:t>11,489,448</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Noncash activities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Conversion of SAFE notes to equity</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40,726,793</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Conversion of short-term debt to equity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8,597,749</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Transaction costs paid in shares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156,870</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Less: Accrued taxes assumed from ShoulderUp</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(3,913,668</w:t>
            </w:r>
          </w:p>
        </w:tc>
        <w:tc>
          <w:tcPr>
            <w:tcW w:w="110" w:type="dxa"/>
            <w:tcBorders/>
            <w:shd w:fill="CCEEFF" w:val="clear"/>
            <w:vAlign w:val="center"/>
          </w:tcPr>
          <w:p>
            <w:pPr>
              <w:pStyle w:val="TableContents"/>
              <w:bidi w:val="0"/>
              <w:spacing w:before="0" w:after="283"/>
              <w:jc w:val="left"/>
              <w:rPr/>
            </w:pPr>
            <w:r>
              <w:rPr/>
              <w:t>)</w:t>
            </w:r>
          </w:p>
        </w:tc>
      </w:tr>
      <w:tr>
        <w:trPr/>
        <w:tc>
          <w:tcPr>
            <w:tcW w:w="6845" w:type="dxa"/>
            <w:tcBorders/>
            <w:shd w:fill="FFFFFF" w:val="clear"/>
            <w:vAlign w:val="center"/>
          </w:tcPr>
          <w:p>
            <w:pPr>
              <w:pStyle w:val="TableContents"/>
              <w:bidi w:val="0"/>
              <w:spacing w:before="0" w:after="283"/>
              <w:jc w:val="left"/>
              <w:rPr/>
            </w:pPr>
            <w:r>
              <w:rPr/>
              <w:t>Less: Short-term debt assumed from ShoulderUp</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9" w:type="dxa"/>
            <w:tcBorders>
              <w:bottom w:val="single" w:sz="12" w:space="0" w:color="000000"/>
            </w:tcBorders>
            <w:shd w:fill="FFFFFF" w:val="clear"/>
            <w:tcMar>
              <w:bottom w:w="28" w:type="dxa"/>
            </w:tcMar>
            <w:vAlign w:val="center"/>
          </w:tcPr>
          <w:p>
            <w:pPr>
              <w:pStyle w:val="TableContents"/>
              <w:bidi w:val="0"/>
              <w:spacing w:before="0" w:after="283"/>
              <w:jc w:val="right"/>
              <w:rPr/>
            </w:pPr>
            <w:r>
              <w:rPr/>
              <w:t>(900,000</w:t>
            </w:r>
          </w:p>
        </w:tc>
        <w:tc>
          <w:tcPr>
            <w:tcW w:w="110" w:type="dxa"/>
            <w:tcBorders/>
            <w:shd w:fill="FFFFFF" w:val="clear"/>
            <w:vAlign w:val="center"/>
          </w:tcPr>
          <w:p>
            <w:pPr>
              <w:pStyle w:val="TableContents"/>
              <w:bidi w:val="0"/>
              <w:spacing w:before="0" w:after="283"/>
              <w:jc w:val="left"/>
              <w:rPr/>
            </w:pPr>
            <w:r>
              <w:rPr/>
              <w:t>)</w:t>
            </w:r>
          </w:p>
        </w:tc>
      </w:tr>
      <w:tr>
        <w:trPr/>
        <w:tc>
          <w:tcPr>
            <w:tcW w:w="6845" w:type="dxa"/>
            <w:tcBorders/>
            <w:shd w:fill="CCEEFF" w:val="clear"/>
            <w:vAlign w:val="center"/>
          </w:tcPr>
          <w:p>
            <w:pPr>
              <w:pStyle w:val="TableContents"/>
              <w:bidi w:val="0"/>
              <w:spacing w:before="0" w:after="283"/>
              <w:jc w:val="left"/>
              <w:rPr>
                <w:b/>
              </w:rPr>
            </w:pPr>
            <w:r>
              <w:rPr>
                <w:b/>
              </w:rPr>
              <w:t>Net equity impact of the Business Combination</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69" w:type="dxa"/>
            <w:tcBorders>
              <w:bottom w:val="double" w:sz="10" w:space="0" w:color="000000"/>
            </w:tcBorders>
            <w:shd w:fill="CCEEFF" w:val="clear"/>
            <w:tcMar>
              <w:bottom w:w="28" w:type="dxa"/>
            </w:tcMar>
            <w:vAlign w:val="center"/>
          </w:tcPr>
          <w:p>
            <w:pPr>
              <w:pStyle w:val="TableContents"/>
              <w:bidi w:val="0"/>
              <w:spacing w:before="0" w:after="283"/>
              <w:jc w:val="right"/>
              <w:rPr/>
            </w:pPr>
            <w:r>
              <w:rPr/>
              <w:t>56,157,192</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Par value of common stock issued</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9" w:type="dxa"/>
            <w:tcBorders>
              <w:bottom w:val="single" w:sz="12" w:space="0" w:color="000000"/>
            </w:tcBorders>
            <w:shd w:fill="FFFFFF" w:val="clear"/>
            <w:tcMar>
              <w:bottom w:w="28" w:type="dxa"/>
            </w:tcMar>
            <w:vAlign w:val="center"/>
          </w:tcPr>
          <w:p>
            <w:pPr>
              <w:pStyle w:val="TableContents"/>
              <w:bidi w:val="0"/>
              <w:spacing w:before="0" w:after="283"/>
              <w:jc w:val="right"/>
              <w:rPr/>
            </w:pPr>
            <w:r>
              <w:rPr/>
              <w:t>(1,543</w:t>
            </w:r>
          </w:p>
        </w:tc>
        <w:tc>
          <w:tcPr>
            <w:tcW w:w="110" w:type="dxa"/>
            <w:tcBorders/>
            <w:shd w:fill="FFFFFF" w:val="clear"/>
            <w:vAlign w:val="center"/>
          </w:tcPr>
          <w:p>
            <w:pPr>
              <w:pStyle w:val="TableContents"/>
              <w:bidi w:val="0"/>
              <w:spacing w:before="0" w:after="283"/>
              <w:jc w:val="left"/>
              <w:rPr/>
            </w:pPr>
            <w:r>
              <w:rPr/>
              <w:t>)</w:t>
            </w:r>
          </w:p>
        </w:tc>
      </w:tr>
      <w:tr>
        <w:trPr/>
        <w:tc>
          <w:tcPr>
            <w:tcW w:w="6845" w:type="dxa"/>
            <w:tcBorders/>
            <w:shd w:fill="CCEEFF" w:val="clear"/>
            <w:vAlign w:val="center"/>
          </w:tcPr>
          <w:p>
            <w:pPr>
              <w:pStyle w:val="TableContents"/>
              <w:bidi w:val="0"/>
              <w:spacing w:before="0" w:after="283"/>
              <w:jc w:val="left"/>
              <w:rPr>
                <w:b/>
              </w:rPr>
            </w:pPr>
            <w:r>
              <w:rPr>
                <w:b/>
              </w:rPr>
              <w:t>Total Impact of Business Combination on additional paid-in capital</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69" w:type="dxa"/>
            <w:tcBorders>
              <w:bottom w:val="double" w:sz="10" w:space="0" w:color="000000"/>
            </w:tcBorders>
            <w:shd w:fill="CCEEFF" w:val="clear"/>
            <w:tcMar>
              <w:bottom w:w="28" w:type="dxa"/>
            </w:tcMar>
            <w:vAlign w:val="center"/>
          </w:tcPr>
          <w:p>
            <w:pPr>
              <w:pStyle w:val="TableContents"/>
              <w:bidi w:val="0"/>
              <w:spacing w:before="0" w:after="283"/>
              <w:jc w:val="right"/>
              <w:rPr/>
            </w:pPr>
            <w:r>
              <w:rPr/>
              <w:t>56,155,649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Bridge Loan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first two quarters of 2025, the Legacy Company entered into unsecured bridge loan agreements with two major lenders, totaling $2,850,000 in principal. These loans bear interest at an annual rate of 20%, calculated on a 365-day basis, and include a minimum interest provision requiring payment of at least 8% or 10% of the principal amount if repaid prior to their six-month maturity dates. As of the date of Closing, the Company recorded an accrued interest liability of $280,000, which was settled at Closing.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Closing of the Business Combination, one of the lenders elected to convert a portion of its outstanding principal and accrued interest into 614,125 shares of Common Stock, based on a conversion price of $4.00 per share. The other lender opted to receive full repayment in cash. Following the 1-for-25 reverse stock split effective May 29, 2026, the 614,125 shares were adjusted to 24,565 shares of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transaction: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24"/>
        <w:gridCol w:w="60"/>
        <w:gridCol w:w="977"/>
        <w:gridCol w:w="60"/>
        <w:gridCol w:w="140"/>
        <w:gridCol w:w="980"/>
        <w:gridCol w:w="60"/>
        <w:gridCol w:w="60"/>
        <w:gridCol w:w="165"/>
        <w:gridCol w:w="943"/>
        <w:gridCol w:w="60"/>
        <w:gridCol w:w="60"/>
        <w:gridCol w:w="167"/>
        <w:gridCol w:w="1045"/>
        <w:gridCol w:w="95"/>
        <w:gridCol w:w="60"/>
        <w:gridCol w:w="151"/>
        <w:gridCol w:w="1064"/>
        <w:gridCol w:w="60"/>
        <w:gridCol w:w="60"/>
        <w:gridCol w:w="70"/>
        <w:gridCol w:w="948"/>
        <w:gridCol w:w="60"/>
        <w:gridCol w:w="60"/>
        <w:gridCol w:w="103"/>
        <w:gridCol w:w="1191"/>
        <w:gridCol w:w="82"/>
      </w:tblGrid>
      <w:tr>
        <w:trPr/>
        <w:tc>
          <w:tcPr>
            <w:tcW w:w="1424" w:type="dxa"/>
            <w:tcBorders>
              <w:bottom w:val="single" w:sz="12" w:space="0" w:color="000000"/>
            </w:tcBorders>
            <w:vAlign w:val="center"/>
          </w:tcPr>
          <w:p>
            <w:pPr>
              <w:pStyle w:val="TableContents"/>
              <w:bidi w:val="0"/>
              <w:spacing w:before="0" w:after="283"/>
              <w:jc w:val="left"/>
              <w:rPr>
                <w:b/>
              </w:rPr>
            </w:pPr>
            <w:r>
              <w:rPr>
                <w:b/>
              </w:rPr>
              <w:t>Bridge Loans</w:t>
            </w:r>
          </w:p>
        </w:tc>
        <w:tc>
          <w:tcPr>
            <w:tcW w:w="60" w:type="dxa"/>
            <w:tcBorders/>
            <w:tcMar>
              <w:bottom w:w="0" w:type="dxa"/>
            </w:tcMar>
            <w:vAlign w:val="center"/>
          </w:tcPr>
          <w:p>
            <w:pPr>
              <w:pStyle w:val="TableContents"/>
              <w:bidi w:val="0"/>
              <w:spacing w:before="0" w:after="283"/>
              <w:jc w:val="left"/>
              <w:rPr/>
            </w:pPr>
            <w:r>
              <w:rPr/>
              <w:t> </w:t>
            </w:r>
          </w:p>
        </w:tc>
        <w:tc>
          <w:tcPr>
            <w:tcW w:w="977" w:type="dxa"/>
            <w:tcBorders>
              <w:bottom w:val="single" w:sz="12" w:space="0" w:color="000000"/>
            </w:tcBorders>
            <w:vAlign w:val="center"/>
          </w:tcPr>
          <w:p>
            <w:pPr>
              <w:pStyle w:val="TableContents"/>
              <w:bidi w:val="0"/>
              <w:spacing w:before="0" w:after="283"/>
              <w:jc w:val="center"/>
              <w:rPr>
                <w:b/>
              </w:rPr>
            </w:pPr>
            <w:r>
              <w:rPr>
                <w:b/>
              </w:rPr>
              <w:t xml:space="preserve">Effective </w:t>
              <w:br/>
              <w:t>Date</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8" w:type="dxa"/>
            <w:gridSpan w:val="2"/>
            <w:tcBorders>
              <w:bottom w:val="single" w:sz="12" w:space="0" w:color="000000"/>
            </w:tcBorders>
            <w:vAlign w:val="center"/>
          </w:tcPr>
          <w:p>
            <w:pPr>
              <w:pStyle w:val="TableContents"/>
              <w:bidi w:val="0"/>
              <w:spacing w:before="0" w:after="283"/>
              <w:jc w:val="center"/>
              <w:rPr>
                <w:b/>
              </w:rPr>
            </w:pPr>
            <w:r>
              <w:rPr>
                <w:b/>
              </w:rPr>
              <w:t xml:space="preserve">Interest at </w:t>
              <w:br/>
              <w:t>closing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12" w:type="dxa"/>
            <w:gridSpan w:val="2"/>
            <w:tcBorders>
              <w:bottom w:val="single" w:sz="12" w:space="0" w:color="000000"/>
            </w:tcBorders>
            <w:vAlign w:val="center"/>
          </w:tcPr>
          <w:p>
            <w:pPr>
              <w:pStyle w:val="TableContents"/>
              <w:bidi w:val="0"/>
              <w:spacing w:before="0" w:after="283"/>
              <w:jc w:val="center"/>
              <w:rPr>
                <w:b/>
              </w:rPr>
            </w:pPr>
            <w:r>
              <w:rPr>
                <w:b/>
              </w:rPr>
              <w:t xml:space="preserve">Payback in </w:t>
              <w:br/>
              <w:t>Cash</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15" w:type="dxa"/>
            <w:gridSpan w:val="2"/>
            <w:tcBorders>
              <w:bottom w:val="single" w:sz="12" w:space="0" w:color="000000"/>
            </w:tcBorders>
            <w:vAlign w:val="center"/>
          </w:tcPr>
          <w:p>
            <w:pPr>
              <w:pStyle w:val="TableContents"/>
              <w:bidi w:val="0"/>
              <w:spacing w:before="0" w:after="283"/>
              <w:jc w:val="center"/>
              <w:rPr>
                <w:b/>
              </w:rPr>
            </w:pPr>
            <w:r>
              <w:rPr>
                <w:b/>
              </w:rPr>
              <w:t xml:space="preserve">Payback in </w:t>
              <w:br/>
              <w:t xml:space="preserve">shares at </w:t>
              <w:br/>
              <w:t>4/share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8" w:type="dxa"/>
            <w:gridSpan w:val="2"/>
            <w:tcBorders>
              <w:bottom w:val="single" w:sz="12" w:space="0" w:color="000000"/>
            </w:tcBorders>
            <w:vAlign w:val="center"/>
          </w:tcPr>
          <w:p>
            <w:pPr>
              <w:pStyle w:val="TableContents"/>
              <w:bidi w:val="0"/>
              <w:spacing w:before="0" w:after="283"/>
              <w:jc w:val="center"/>
              <w:rPr>
                <w:b/>
              </w:rPr>
            </w:pPr>
            <w:r>
              <w:rPr>
                <w:b/>
              </w:rPr>
              <w:t xml:space="preserve">Shares at </w:t>
              <w:br/>
              <w:t>Closing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4" w:type="dxa"/>
            <w:gridSpan w:val="2"/>
            <w:tcBorders>
              <w:bottom w:val="single" w:sz="12" w:space="0" w:color="000000"/>
            </w:tcBorders>
            <w:vAlign w:val="center"/>
          </w:tcPr>
          <w:p>
            <w:pPr>
              <w:pStyle w:val="TableContents"/>
              <w:bidi w:val="0"/>
              <w:spacing w:before="0" w:after="283"/>
              <w:jc w:val="center"/>
              <w:rPr>
                <w:b/>
              </w:rPr>
            </w:pPr>
            <w:r>
              <w:rPr>
                <w:b/>
              </w:rPr>
              <w:t>Shares After</w:t>
              <w:br/>
              <w:t xml:space="preserve">1-for-25 </w:t>
              <w:br/>
              <w:t xml:space="preserve">Reverse </w:t>
              <w:br/>
              <w:t>Stock Split</w:t>
            </w:r>
          </w:p>
        </w:tc>
        <w:tc>
          <w:tcPr>
            <w:tcW w:w="82" w:type="dxa"/>
            <w:tcBorders/>
            <w:tcMar>
              <w:bottom w:w="0" w:type="dxa"/>
            </w:tcMar>
            <w:vAlign w:val="center"/>
          </w:tcPr>
          <w:p>
            <w:pPr>
              <w:pStyle w:val="TableContents"/>
              <w:bidi w:val="0"/>
              <w:spacing w:before="0" w:after="283"/>
              <w:jc w:val="left"/>
              <w:rPr/>
            </w:pPr>
            <w:r>
              <w:rPr/>
              <w:t> </w:t>
            </w:r>
          </w:p>
        </w:tc>
      </w:tr>
      <w:tr>
        <w:trPr/>
        <w:tc>
          <w:tcPr>
            <w:tcW w:w="1424" w:type="dxa"/>
            <w:tcBorders/>
            <w:shd w:fill="CCEEFF" w:val="clear"/>
            <w:tcMar>
              <w:bottom w:w="0" w:type="dxa"/>
            </w:tcMar>
            <w:vAlign w:val="center"/>
          </w:tcPr>
          <w:p>
            <w:pPr>
              <w:pStyle w:val="TableContents"/>
              <w:bidi w:val="0"/>
              <w:spacing w:before="0" w:after="283"/>
              <w:jc w:val="left"/>
              <w:rPr/>
            </w:pPr>
            <w:r>
              <w:rPr/>
              <w:t>Bridge loan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center"/>
              <w:rPr/>
            </w:pPr>
            <w:r>
              <w:rPr/>
              <w:t>1/29/2025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w:t>
            </w:r>
          </w:p>
        </w:tc>
        <w:tc>
          <w:tcPr>
            <w:tcW w:w="943" w:type="dxa"/>
            <w:tcBorders/>
            <w:shd w:fill="CCEEFF" w:val="clear"/>
            <w:tcMar>
              <w:bottom w:w="0" w:type="dxa"/>
            </w:tcMar>
            <w:vAlign w:val="center"/>
          </w:tcPr>
          <w:p>
            <w:pPr>
              <w:pStyle w:val="TableContents"/>
              <w:bidi w:val="0"/>
              <w:spacing w:before="0" w:after="283"/>
              <w:jc w:val="right"/>
              <w:rPr/>
            </w:pPr>
            <w:r>
              <w:rPr/>
              <w:t>150,000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w:t>
            </w:r>
          </w:p>
        </w:tc>
        <w:tc>
          <w:tcPr>
            <w:tcW w:w="1045" w:type="dxa"/>
            <w:tcBorders/>
            <w:shd w:fill="CCEEFF" w:val="clear"/>
            <w:tcMar>
              <w:bottom w:w="0" w:type="dxa"/>
            </w:tcMar>
            <w:vAlign w:val="center"/>
          </w:tcPr>
          <w:p>
            <w:pPr>
              <w:pStyle w:val="TableContents"/>
              <w:bidi w:val="0"/>
              <w:spacing w:before="0" w:after="283"/>
              <w:jc w:val="right"/>
              <w:rPr/>
            </w:pPr>
            <w:r>
              <w:rPr/>
              <w:t>(193,500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64" w:type="dxa"/>
            <w:tcBorders/>
            <w:shd w:fill="CCEEFF" w:val="clear"/>
            <w:tcMar>
              <w:bottom w:w="0" w:type="dxa"/>
            </w:tcMar>
            <w:vAlign w:val="center"/>
          </w:tcPr>
          <w:p>
            <w:pPr>
              <w:pStyle w:val="TableContents"/>
              <w:bidi w:val="0"/>
              <w:spacing w:before="0" w:after="283"/>
              <w:jc w:val="right"/>
              <w:rPr/>
            </w:pPr>
            <w:r>
              <w:rPr/>
              <w:t>1,456,500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948" w:type="dxa"/>
            <w:tcBorders/>
            <w:shd w:fill="CCEEFF" w:val="clear"/>
            <w:tcMar>
              <w:bottom w:w="0" w:type="dxa"/>
            </w:tcMar>
            <w:vAlign w:val="center"/>
          </w:tcPr>
          <w:p>
            <w:pPr>
              <w:pStyle w:val="TableContents"/>
              <w:bidi w:val="0"/>
              <w:spacing w:before="0" w:after="283"/>
              <w:jc w:val="right"/>
              <w:rPr/>
            </w:pPr>
            <w:r>
              <w:rPr/>
              <w:t>364,125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191" w:type="dxa"/>
            <w:tcBorders/>
            <w:shd w:fill="CCEEFF" w:val="clear"/>
            <w:tcMar>
              <w:bottom w:w="0" w:type="dxa"/>
            </w:tcMar>
            <w:vAlign w:val="center"/>
          </w:tcPr>
          <w:p>
            <w:pPr>
              <w:pStyle w:val="TableContents"/>
              <w:bidi w:val="0"/>
              <w:spacing w:before="0" w:after="283"/>
              <w:jc w:val="right"/>
              <w:rPr/>
            </w:pPr>
            <w:r>
              <w:rPr/>
              <w:t>14,565</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424" w:type="dxa"/>
            <w:tcBorders/>
            <w:shd w:fill="FFFFFF" w:val="clear"/>
            <w:tcMar>
              <w:bottom w:w="0" w:type="dxa"/>
            </w:tcMar>
            <w:vAlign w:val="center"/>
          </w:tcPr>
          <w:p>
            <w:pPr>
              <w:pStyle w:val="TableContents"/>
              <w:bidi w:val="0"/>
              <w:spacing w:before="0" w:after="283"/>
              <w:jc w:val="left"/>
              <w:rPr/>
            </w:pPr>
            <w:r>
              <w:rPr/>
              <w:t>Bridge loan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7" w:type="dxa"/>
            <w:tcBorders/>
            <w:shd w:fill="FFFFFF" w:val="clear"/>
            <w:tcMar>
              <w:bottom w:w="0" w:type="dxa"/>
            </w:tcMar>
            <w:vAlign w:val="center"/>
          </w:tcPr>
          <w:p>
            <w:pPr>
              <w:pStyle w:val="TableContents"/>
              <w:bidi w:val="0"/>
              <w:spacing w:before="0" w:after="283"/>
              <w:jc w:val="center"/>
              <w:rPr/>
            </w:pPr>
            <w:r>
              <w:rPr/>
              <w:t>4/9/2025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943" w:type="dxa"/>
            <w:tcBorders/>
            <w:shd w:fill="FFFFFF" w:val="clear"/>
            <w:tcMar>
              <w:bottom w:w="0" w:type="dxa"/>
            </w:tcMar>
            <w:vAlign w:val="center"/>
          </w:tcPr>
          <w:p>
            <w:pPr>
              <w:pStyle w:val="TableContents"/>
              <w:bidi w:val="0"/>
              <w:spacing w:before="0" w:after="283"/>
              <w:jc w:val="right"/>
              <w:rPr/>
            </w:pPr>
            <w:r>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(50,000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1064" w:type="dxa"/>
            <w:tcBorders/>
            <w:shd w:fill="FFFFFF" w:val="clear"/>
            <w:tcMar>
              <w:bottom w:w="0" w:type="dxa"/>
            </w:tcM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pPr>
            <w:r>
              <w:rPr/>
              <w:t>125,000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191" w:type="dxa"/>
            <w:tcBorders/>
            <w:shd w:fill="FFFFFF" w:val="clear"/>
            <w:tcMar>
              <w:bottom w:w="0" w:type="dxa"/>
            </w:tcMar>
            <w:vAlign w:val="center"/>
          </w:tcPr>
          <w:p>
            <w:pPr>
              <w:pStyle w:val="TableContents"/>
              <w:bidi w:val="0"/>
              <w:spacing w:before="0" w:after="283"/>
              <w:jc w:val="right"/>
              <w:rPr/>
            </w:pPr>
            <w:r>
              <w:rPr/>
              <w:t>5,000</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424" w:type="dxa"/>
            <w:tcBorders/>
            <w:shd w:fill="CCEEFF" w:val="clear"/>
            <w:tcMar>
              <w:bottom w:w="0" w:type="dxa"/>
            </w:tcMar>
            <w:vAlign w:val="center"/>
          </w:tcPr>
          <w:p>
            <w:pPr>
              <w:pStyle w:val="TableContents"/>
              <w:bidi w:val="0"/>
              <w:spacing w:before="0" w:after="283"/>
              <w:jc w:val="left"/>
              <w:rPr/>
            </w:pPr>
            <w:r>
              <w:rPr/>
              <w:t>Bridge loan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center"/>
              <w:rPr/>
            </w:pPr>
            <w:r>
              <w:rPr/>
              <w:t>5/7/2025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943"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(50,000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064"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948" w:type="dxa"/>
            <w:tcBorders/>
            <w:shd w:fill="CCEEFF" w:val="clear"/>
            <w:tcMar>
              <w:bottom w:w="0" w:type="dxa"/>
            </w:tcMar>
            <w:vAlign w:val="center"/>
          </w:tcPr>
          <w:p>
            <w:pPr>
              <w:pStyle w:val="TableContents"/>
              <w:bidi w:val="0"/>
              <w:spacing w:before="0" w:after="283"/>
              <w:jc w:val="right"/>
              <w:rPr/>
            </w:pPr>
            <w:r>
              <w:rPr/>
              <w:t>125,000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191" w:type="dxa"/>
            <w:tcBorders/>
            <w:shd w:fill="CCEEFF" w:val="clear"/>
            <w:tcMar>
              <w:bottom w:w="0" w:type="dxa"/>
            </w:tcMar>
            <w:vAlign w:val="center"/>
          </w:tcPr>
          <w:p>
            <w:pPr>
              <w:pStyle w:val="TableContents"/>
              <w:bidi w:val="0"/>
              <w:spacing w:before="0" w:after="283"/>
              <w:jc w:val="right"/>
              <w:rPr/>
            </w:pPr>
            <w:r>
              <w:rPr/>
              <w:t>5,000</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424" w:type="dxa"/>
            <w:tcBorders/>
            <w:shd w:fill="FFFFFF" w:val="clear"/>
            <w:tcMar>
              <w:bottom w:w="0" w:type="dxa"/>
            </w:tcMar>
            <w:vAlign w:val="center"/>
          </w:tcPr>
          <w:p>
            <w:pPr>
              <w:pStyle w:val="TableContents"/>
              <w:bidi w:val="0"/>
              <w:spacing w:before="0" w:after="283"/>
              <w:jc w:val="left"/>
              <w:rPr/>
            </w:pPr>
            <w:r>
              <w:rPr/>
              <w:t>Bridge loan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7" w:type="dxa"/>
            <w:tcBorders/>
            <w:shd w:fill="FFFFFF" w:val="clear"/>
            <w:tcMar>
              <w:bottom w:w="0" w:type="dxa"/>
            </w:tcMar>
            <w:vAlign w:val="center"/>
          </w:tcPr>
          <w:p>
            <w:pPr>
              <w:pStyle w:val="TableContents"/>
              <w:bidi w:val="0"/>
              <w:spacing w:before="0" w:after="283"/>
              <w:jc w:val="center"/>
              <w:rPr/>
            </w:pPr>
            <w:r>
              <w:rPr/>
              <w:t>3/29/2025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943" w:type="dxa"/>
            <w:tcBorders/>
            <w:shd w:fill="FFFFFF" w:val="clear"/>
            <w:tcMar>
              <w:bottom w:w="0" w:type="dxa"/>
            </w:tcMar>
            <w:vAlign w:val="center"/>
          </w:tcPr>
          <w:p>
            <w:pPr>
              <w:pStyle w:val="TableContents"/>
              <w:bidi w:val="0"/>
              <w:spacing w:before="0" w:after="283"/>
              <w:jc w:val="right"/>
              <w:rPr/>
            </w:pPr>
            <w:r>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(110,000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106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191" w:type="dxa"/>
            <w:tcBorders/>
            <w:shd w:fill="FFFFFF" w:val="clear"/>
            <w:tcMar>
              <w:bottom w:w="0" w:type="dxa"/>
            </w:tcMar>
            <w:vAlign w:val="center"/>
          </w:tcPr>
          <w:p>
            <w:pPr>
              <w:pStyle w:val="TableContents"/>
              <w:bidi w:val="0"/>
              <w:spacing w:before="0" w:after="283"/>
              <w:jc w:val="right"/>
              <w:rPr/>
            </w:pPr>
            <w:r>
              <w:rPr/>
              <w:t>-</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424" w:type="dxa"/>
            <w:tcBorders/>
            <w:shd w:fill="CCEEFF" w:val="clear"/>
            <w:tcMar>
              <w:bottom w:w="0" w:type="dxa"/>
            </w:tcMar>
            <w:vAlign w:val="center"/>
          </w:tcPr>
          <w:p>
            <w:pPr>
              <w:pStyle w:val="TableContents"/>
              <w:bidi w:val="0"/>
              <w:spacing w:before="0" w:after="283"/>
              <w:jc w:val="left"/>
              <w:rPr/>
            </w:pPr>
            <w:r>
              <w:rPr/>
              <w:t>Bridge loan 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center"/>
              <w:rPr/>
            </w:pPr>
            <w:r>
              <w:rPr/>
              <w:t>6/5/2025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bottom w:val="single" w:sz="12" w:space="0" w:color="000000"/>
            </w:tcBorders>
            <w:shd w:fill="CCEEFF" w:val="clear"/>
            <w:vAlign w:val="center"/>
          </w:tcPr>
          <w:p>
            <w:pPr>
              <w:pStyle w:val="TableContents"/>
              <w:bidi w:val="0"/>
              <w:spacing w:before="0" w:after="283"/>
              <w:jc w:val="left"/>
              <w:rPr/>
            </w:pPr>
            <w:r>
              <w:rPr/>
              <w:t> </w:t>
            </w:r>
          </w:p>
        </w:tc>
        <w:tc>
          <w:tcPr>
            <w:tcW w:w="943" w:type="dxa"/>
            <w:tcBorders>
              <w:bottom w:val="single" w:sz="12" w:space="0" w:color="000000"/>
            </w:tcBorders>
            <w:shd w:fill="CCEEFF" w:val="clear"/>
            <w:vAlign w:val="center"/>
          </w:tcPr>
          <w:p>
            <w:pPr>
              <w:pStyle w:val="TableContents"/>
              <w:bidi w:val="0"/>
              <w:spacing w:before="0" w:after="283"/>
              <w:jc w:val="right"/>
              <w:rPr/>
            </w:pPr>
            <w:r>
              <w:rPr/>
              <w:t>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1045" w:type="dxa"/>
            <w:tcBorders>
              <w:bottom w:val="single" w:sz="12" w:space="0" w:color="000000"/>
            </w:tcBorders>
            <w:shd w:fill="CCEEFF" w:val="clear"/>
            <w:vAlign w:val="center"/>
          </w:tcPr>
          <w:p>
            <w:pPr>
              <w:pStyle w:val="TableContents"/>
              <w:bidi w:val="0"/>
              <w:spacing w:before="0" w:after="283"/>
              <w:jc w:val="right"/>
              <w:rPr/>
            </w:pPr>
            <w:r>
              <w:rPr/>
              <w:t>(270,000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single" w:sz="12" w:space="0" w:color="000000"/>
            </w:tcBorders>
            <w:shd w:fill="CCEEFF" w:val="clear"/>
            <w:vAlign w:val="center"/>
          </w:tcPr>
          <w:p>
            <w:pPr>
              <w:pStyle w:val="TableContents"/>
              <w:bidi w:val="0"/>
              <w:spacing w:before="0" w:after="283"/>
              <w:jc w:val="left"/>
              <w:rPr/>
            </w:pPr>
            <w:r>
              <w:rPr/>
              <w:t> </w:t>
            </w:r>
          </w:p>
        </w:tc>
        <w:tc>
          <w:tcPr>
            <w:tcW w:w="1064"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CCEEFF" w:val="clear"/>
            <w:vAlign w:val="center"/>
          </w:tcPr>
          <w:p>
            <w:pPr>
              <w:pStyle w:val="TableContents"/>
              <w:bidi w:val="0"/>
              <w:spacing w:before="0" w:after="283"/>
              <w:jc w:val="left"/>
              <w:rPr/>
            </w:pPr>
            <w:r>
              <w:rPr/>
              <w:t> </w:t>
            </w:r>
          </w:p>
        </w:tc>
        <w:tc>
          <w:tcPr>
            <w:tcW w:w="948"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1191" w:type="dxa"/>
            <w:tcBorders>
              <w:bottom w:val="single" w:sz="12" w:space="0" w:color="000000"/>
            </w:tcBorders>
            <w:shd w:fill="CCEEFF" w:val="clear"/>
            <w:vAlign w:val="center"/>
          </w:tcPr>
          <w:p>
            <w:pPr>
              <w:pStyle w:val="TableContents"/>
              <w:bidi w:val="0"/>
              <w:spacing w:before="0" w:after="283"/>
              <w:jc w:val="right"/>
              <w:rPr/>
            </w:pPr>
            <w:r>
              <w:rPr/>
              <w:t>-</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424"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980" w:type="dxa"/>
            <w:tcBorders>
              <w:bottom w:val="double" w:sz="10" w:space="0" w:color="000000"/>
            </w:tcBorders>
            <w:shd w:fill="FFFFFF" w:val="clear"/>
            <w:vAlign w:val="center"/>
          </w:tcPr>
          <w:p>
            <w:pPr>
              <w:pStyle w:val="TableContents"/>
              <w:bidi w:val="0"/>
              <w:spacing w:before="0" w:after="283"/>
              <w:jc w:val="right"/>
              <w:rPr/>
            </w:pPr>
            <w:r>
              <w:rPr/>
              <w:t>2,850,000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bottom w:val="double" w:sz="10" w:space="0" w:color="000000"/>
            </w:tcBorders>
            <w:shd w:fill="FFFFFF" w:val="clear"/>
            <w:vAlign w:val="center"/>
          </w:tcPr>
          <w:p>
            <w:pPr>
              <w:pStyle w:val="TableContents"/>
              <w:bidi w:val="0"/>
              <w:spacing w:before="0" w:after="283"/>
              <w:jc w:val="left"/>
              <w:rPr/>
            </w:pPr>
            <w:r>
              <w:rPr/>
              <w:t>$</w:t>
            </w:r>
          </w:p>
        </w:tc>
        <w:tc>
          <w:tcPr>
            <w:tcW w:w="943" w:type="dxa"/>
            <w:tcBorders>
              <w:bottom w:val="double" w:sz="10" w:space="0" w:color="000000"/>
            </w:tcBorders>
            <w:shd w:fill="FFFFFF" w:val="clear"/>
            <w:vAlign w:val="center"/>
          </w:tcPr>
          <w:p>
            <w:pPr>
              <w:pStyle w:val="TableContents"/>
              <w:bidi w:val="0"/>
              <w:spacing w:before="0" w:after="283"/>
              <w:jc w:val="right"/>
              <w:rPr/>
            </w:pPr>
            <w:r>
              <w:rPr/>
              <w:t>280,000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double" w:sz="10" w:space="0" w:color="000000"/>
            </w:tcBorders>
            <w:shd w:fill="FFFFFF" w:val="clear"/>
            <w:vAlign w:val="center"/>
          </w:tcPr>
          <w:p>
            <w:pPr>
              <w:pStyle w:val="TableContents"/>
              <w:bidi w:val="0"/>
              <w:spacing w:before="0" w:after="283"/>
              <w:jc w:val="left"/>
              <w:rPr/>
            </w:pPr>
            <w:r>
              <w:rPr/>
              <w:t>$</w:t>
            </w:r>
          </w:p>
        </w:tc>
        <w:tc>
          <w:tcPr>
            <w:tcW w:w="1045" w:type="dxa"/>
            <w:tcBorders>
              <w:bottom w:val="double" w:sz="10" w:space="0" w:color="000000"/>
            </w:tcBorders>
            <w:shd w:fill="FFFFFF" w:val="clear"/>
            <w:vAlign w:val="center"/>
          </w:tcPr>
          <w:p>
            <w:pPr>
              <w:pStyle w:val="TableContents"/>
              <w:bidi w:val="0"/>
              <w:spacing w:before="0" w:after="283"/>
              <w:jc w:val="right"/>
              <w:rPr/>
            </w:pPr>
            <w:r>
              <w:rPr/>
              <w:t>(673,500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bottom w:val="double" w:sz="10" w:space="0" w:color="000000"/>
            </w:tcBorders>
            <w:shd w:fill="FFFFFF" w:val="clear"/>
            <w:vAlign w:val="center"/>
          </w:tcPr>
          <w:p>
            <w:pPr>
              <w:pStyle w:val="TableContents"/>
              <w:bidi w:val="0"/>
              <w:spacing w:before="0" w:after="283"/>
              <w:jc w:val="left"/>
              <w:rPr/>
            </w:pPr>
            <w:r>
              <w:rPr/>
              <w:t>$</w:t>
            </w:r>
          </w:p>
        </w:tc>
        <w:tc>
          <w:tcPr>
            <w:tcW w:w="1064" w:type="dxa"/>
            <w:tcBorders>
              <w:bottom w:val="double" w:sz="10" w:space="0" w:color="000000"/>
            </w:tcBorders>
            <w:shd w:fill="FFFFFF" w:val="clear"/>
            <w:vAlign w:val="center"/>
          </w:tcPr>
          <w:p>
            <w:pPr>
              <w:pStyle w:val="TableContents"/>
              <w:bidi w:val="0"/>
              <w:spacing w:before="0" w:after="283"/>
              <w:jc w:val="right"/>
              <w:rPr/>
            </w:pPr>
            <w:r>
              <w:rPr/>
              <w:t>2,456,500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double" w:sz="10" w:space="0" w:color="000000"/>
            </w:tcBorders>
            <w:shd w:fill="FFFFFF" w:val="clear"/>
            <w:vAlign w:val="center"/>
          </w:tcPr>
          <w:p>
            <w:pPr>
              <w:pStyle w:val="TableContents"/>
              <w:bidi w:val="0"/>
              <w:spacing w:before="0" w:after="283"/>
              <w:jc w:val="left"/>
              <w:rPr/>
            </w:pPr>
            <w:r>
              <w:rPr/>
              <w:t> </w:t>
            </w:r>
          </w:p>
        </w:tc>
        <w:tc>
          <w:tcPr>
            <w:tcW w:w="948" w:type="dxa"/>
            <w:tcBorders>
              <w:bottom w:val="double" w:sz="10" w:space="0" w:color="000000"/>
            </w:tcBorders>
            <w:shd w:fill="FFFFFF" w:val="clear"/>
            <w:vAlign w:val="center"/>
          </w:tcPr>
          <w:p>
            <w:pPr>
              <w:pStyle w:val="TableContents"/>
              <w:bidi w:val="0"/>
              <w:spacing w:before="0" w:after="283"/>
              <w:jc w:val="right"/>
              <w:rPr/>
            </w:pPr>
            <w:r>
              <w:rPr/>
              <w:t>614,125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bottom w:val="double" w:sz="10" w:space="0" w:color="000000"/>
            </w:tcBorders>
            <w:shd w:fill="FFFFFF" w:val="clear"/>
            <w:vAlign w:val="center"/>
          </w:tcPr>
          <w:p>
            <w:pPr>
              <w:pStyle w:val="TableContents"/>
              <w:bidi w:val="0"/>
              <w:spacing w:before="0" w:after="283"/>
              <w:jc w:val="left"/>
              <w:rPr/>
            </w:pPr>
            <w:r>
              <w:rPr/>
              <w:t> </w:t>
            </w:r>
          </w:p>
        </w:tc>
        <w:tc>
          <w:tcPr>
            <w:tcW w:w="1191" w:type="dxa"/>
            <w:tcBorders>
              <w:bottom w:val="double" w:sz="10" w:space="0" w:color="000000"/>
            </w:tcBorders>
            <w:shd w:fill="FFFFFF" w:val="clear"/>
            <w:vAlign w:val="center"/>
          </w:tcPr>
          <w:p>
            <w:pPr>
              <w:pStyle w:val="TableContents"/>
              <w:bidi w:val="0"/>
              <w:spacing w:before="0" w:after="283"/>
              <w:jc w:val="right"/>
              <w:rPr/>
            </w:pPr>
            <w:r>
              <w:rPr/>
              <w:t>24,565</w:t>
            </w:r>
          </w:p>
        </w:tc>
        <w:tc>
          <w:tcPr>
            <w:tcW w:w="82"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Bridge loans from this investor had an aggregate principal amount of $2,500,000. At the Closing of the Business Combination, the investor received a cash payment of $293,500, consisting of $250,000 in minimum 10% interest and $43,500 in principal repayment. In addition, the investor received 614,125 shares of Common Stock in exchange for $2,456,500 of combined principal and accrued interest, based on a per share price of $4.00.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bridge loan conversion, the Company derecognized $2,456,500 of the outstanding liability upon the issuance of 614,125 shares of Common Stock, equivalent to 24,565 shares after giving effect to the Company’s 1-for-25 reverse stock split. The Company recognized a loss on debt extinguishment of $6,141,250 during the second quarter of 2025, based on the fair value of the Common Stock of $14.00 per share at the Closing, equivalent to $350.00 per share on a post-reverse stock split basis.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Business Combination, the Company entered into a private investment in public equity (“PIPE”) financing agreement with certain accredited investors. Pursuant to the PIPE subscription agreements, these investors committed to purchase an aggregate of 2,709,411 shares of Common Stock at a price of $4.00 per share, for total gross proceeds of $10,837,643. The PIPE investment provided additional capital to support the Company’s post-closing operations and was consummated concurrently with the Closing of the Business Combination.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Company’s 1-for-25 reverse stock split, effective May 29, 2026, the 2,709,411 shares are equivalent to approximately 108,376 shares of Common Stock, and the $4.00 per-share purchase price is equivalent to $100.00 per share on a post-reverse stock split basis. The aggregate gross proceeds were unaffected by the reverse stock split. The following table presents the breakdown of the PIPE investments. </w:t>
      </w:r>
    </w:p>
    <w:p>
      <w:pPr>
        <w:pStyle w:val="TextBody"/>
        <w:bidi w:val="0"/>
        <w:spacing w:before="0" w:after="0"/>
        <w:ind w:left="0" w:right="0" w:hanging="0"/>
        <w:jc w:val="left"/>
        <w:rPr>
          <w:caps w:val="false"/>
          <w:smallCaps w:val="false"/>
        </w:rPr>
      </w:pPr>
      <w:r>
        <w:rPr>
          <w:caps w:val="false"/>
          <w:smallCaps w:val="false"/>
        </w:rPr>
        <w:t> </w:t>
      </w:r>
    </w:p>
    <w:tbl>
      <w:tblPr>
        <w:tblW w:w="6149" w:type="dxa"/>
        <w:jc w:val="left"/>
        <w:tblInd w:w="0" w:type="dxa"/>
        <w:tblLayout w:type="fixed"/>
        <w:tblCellMar>
          <w:top w:w="0" w:type="dxa"/>
          <w:left w:w="0" w:type="dxa"/>
          <w:bottom w:w="28" w:type="dxa"/>
          <w:right w:w="0" w:type="dxa"/>
        </w:tblCellMar>
      </w:tblPr>
      <w:tblGrid>
        <w:gridCol w:w="1085"/>
        <w:gridCol w:w="60"/>
        <w:gridCol w:w="980"/>
        <w:gridCol w:w="60"/>
        <w:gridCol w:w="140"/>
        <w:gridCol w:w="1100"/>
        <w:gridCol w:w="60"/>
        <w:gridCol w:w="60"/>
        <w:gridCol w:w="60"/>
        <w:gridCol w:w="980"/>
        <w:gridCol w:w="60"/>
        <w:gridCol w:w="60"/>
        <w:gridCol w:w="95"/>
        <w:gridCol w:w="1274"/>
        <w:gridCol w:w="75"/>
      </w:tblGrid>
      <w:tr>
        <w:trPr/>
        <w:tc>
          <w:tcPr>
            <w:tcW w:w="1085" w:type="dxa"/>
            <w:tcBorders>
              <w:bottom w:val="single" w:sz="12" w:space="0" w:color="000000"/>
            </w:tcBorders>
            <w:vAlign w:val="center"/>
          </w:tcPr>
          <w:p>
            <w:pPr>
              <w:pStyle w:val="TableContents"/>
              <w:bidi w:val="0"/>
              <w:spacing w:before="0" w:after="283"/>
              <w:jc w:val="left"/>
              <w:rPr>
                <w:b/>
              </w:rPr>
            </w:pPr>
            <w:r>
              <w:rPr>
                <w:b/>
              </w:rPr>
              <w:t>PIPE</w:t>
            </w:r>
          </w:p>
        </w:tc>
        <w:tc>
          <w:tcPr>
            <w:tcW w:w="60" w:type="dxa"/>
            <w:tcBorders/>
            <w:tcMar>
              <w:bottom w:w="0" w:type="dxa"/>
            </w:tcMar>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center"/>
              <w:rPr>
                <w:b/>
              </w:rPr>
            </w:pPr>
            <w:r>
              <w:rPr>
                <w:b/>
              </w:rPr>
              <w:t xml:space="preserve">Effective </w:t>
              <w:br/>
              <w:t>Date</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 xml:space="preserve">Shares at </w:t>
              <w:br/>
              <w:t>Closing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9" w:type="dxa"/>
            <w:gridSpan w:val="2"/>
            <w:tcBorders>
              <w:bottom w:val="single" w:sz="12" w:space="0" w:color="000000"/>
            </w:tcBorders>
            <w:vAlign w:val="center"/>
          </w:tcPr>
          <w:p>
            <w:pPr>
              <w:pStyle w:val="TableContents"/>
              <w:bidi w:val="0"/>
              <w:spacing w:before="0" w:after="283"/>
              <w:jc w:val="center"/>
              <w:rPr>
                <w:b/>
              </w:rPr>
            </w:pPr>
            <w:r>
              <w:rPr>
                <w:b/>
              </w:rPr>
              <w:t xml:space="preserve">Shares After </w:t>
              <w:br/>
              <w:t xml:space="preserve">1-for-25 </w:t>
              <w:br/>
              <w:t xml:space="preserve">Reverse </w:t>
              <w:br/>
              <w:t>Stock Split</w:t>
            </w:r>
          </w:p>
        </w:tc>
        <w:tc>
          <w:tcPr>
            <w:tcW w:w="75" w:type="dxa"/>
            <w:tcBorders/>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283"/>
              <w:jc w:val="left"/>
              <w:rPr/>
            </w:pPr>
            <w:r>
              <w:rPr/>
              <w:t>PIPE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6/16/2025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2,814,500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703,625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74" w:type="dxa"/>
            <w:tcBorders/>
            <w:shd w:fill="CCEEFF" w:val="clear"/>
            <w:tcMar>
              <w:bottom w:w="0" w:type="dxa"/>
            </w:tcMar>
            <w:vAlign w:val="center"/>
          </w:tcPr>
          <w:p>
            <w:pPr>
              <w:pStyle w:val="TableContents"/>
              <w:bidi w:val="0"/>
              <w:spacing w:before="0" w:after="283"/>
              <w:jc w:val="right"/>
              <w:rPr/>
            </w:pPr>
            <w:r>
              <w:rPr/>
              <w:t>28,145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shd w:fill="FFFFFF" w:val="clear"/>
            <w:tcMar>
              <w:bottom w:w="0" w:type="dxa"/>
            </w:tcMar>
            <w:vAlign w:val="center"/>
          </w:tcPr>
          <w:p>
            <w:pPr>
              <w:pStyle w:val="TableContents"/>
              <w:bidi w:val="0"/>
              <w:spacing w:before="0" w:after="283"/>
              <w:jc w:val="left"/>
              <w:rPr/>
            </w:pPr>
            <w:r>
              <w:rPr/>
              <w:t>PIPE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6/10/2025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74" w:type="dxa"/>
            <w:tcBorders/>
            <w:shd w:fill="FFFFFF" w:val="clear"/>
            <w:tcMar>
              <w:bottom w:w="0" w:type="dxa"/>
            </w:tcMar>
            <w:vAlign w:val="center"/>
          </w:tcPr>
          <w:p>
            <w:pPr>
              <w:pStyle w:val="TableContents"/>
              <w:bidi w:val="0"/>
              <w:spacing w:before="0" w:after="283"/>
              <w:jc w:val="right"/>
              <w:rPr/>
            </w:pPr>
            <w:r>
              <w:rPr/>
              <w:t>10,000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283"/>
              <w:jc w:val="left"/>
              <w:rPr/>
            </w:pPr>
            <w:r>
              <w:rPr/>
              <w:t>PIPE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6/17/2025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100" w:type="dxa"/>
            <w:tcBorders>
              <w:bottom w:val="single" w:sz="12" w:space="0" w:color="000000"/>
            </w:tcBorders>
            <w:shd w:fill="CCEEFF" w:val="clear"/>
            <w:vAlign w:val="center"/>
          </w:tcPr>
          <w:p>
            <w:pPr>
              <w:pStyle w:val="TableContents"/>
              <w:bidi w:val="0"/>
              <w:spacing w:before="0" w:after="283"/>
              <w:jc w:val="right"/>
              <w:rPr/>
            </w:pPr>
            <w:r>
              <w:rPr/>
              <w:t>7,023,143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1,755,786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1274" w:type="dxa"/>
            <w:tcBorders>
              <w:bottom w:val="single" w:sz="12" w:space="0" w:color="000000"/>
            </w:tcBorders>
            <w:shd w:fill="CCEEFF" w:val="clear"/>
            <w:vAlign w:val="center"/>
          </w:tcPr>
          <w:p>
            <w:pPr>
              <w:pStyle w:val="TableContents"/>
              <w:bidi w:val="0"/>
              <w:spacing w:before="0" w:after="283"/>
              <w:jc w:val="right"/>
              <w:rPr/>
            </w:pPr>
            <w:r>
              <w:rPr/>
              <w:t>70,231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shd w:fill="FFFFFF" w:val="clear"/>
            <w:tcMar>
              <w:bottom w:w="0" w:type="dxa"/>
            </w:tcMar>
            <w:vAlign w:val="center"/>
          </w:tcPr>
          <w:p>
            <w:pPr>
              <w:pStyle w:val="TableContents"/>
              <w:bidi w:val="0"/>
              <w:spacing w:before="0" w:after="283"/>
              <w:jc w:val="left"/>
              <w:rPr/>
            </w:pPr>
            <w:r>
              <w:rPr/>
              <w:t>Total PIPE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1100" w:type="dxa"/>
            <w:tcBorders>
              <w:bottom w:val="double" w:sz="10" w:space="0" w:color="000000"/>
            </w:tcBorders>
            <w:shd w:fill="FFFFFF" w:val="clear"/>
            <w:vAlign w:val="center"/>
          </w:tcPr>
          <w:p>
            <w:pPr>
              <w:pStyle w:val="TableContents"/>
              <w:bidi w:val="0"/>
              <w:spacing w:before="0" w:after="283"/>
              <w:jc w:val="right"/>
              <w:rPr/>
            </w:pPr>
            <w:r>
              <w:rPr/>
              <w:t>10,837,643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980" w:type="dxa"/>
            <w:tcBorders>
              <w:bottom w:val="double" w:sz="10" w:space="0" w:color="000000"/>
            </w:tcBorders>
            <w:shd w:fill="FFFFFF" w:val="clear"/>
            <w:vAlign w:val="center"/>
          </w:tcPr>
          <w:p>
            <w:pPr>
              <w:pStyle w:val="TableContents"/>
              <w:bidi w:val="0"/>
              <w:spacing w:before="0" w:after="283"/>
              <w:jc w:val="right"/>
              <w:rPr/>
            </w:pPr>
            <w:r>
              <w:rPr/>
              <w:t>2,709,411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bottom w:val="double" w:sz="10" w:space="0" w:color="000000"/>
            </w:tcBorders>
            <w:shd w:fill="FFFFFF" w:val="clear"/>
            <w:vAlign w:val="center"/>
          </w:tcPr>
          <w:p>
            <w:pPr>
              <w:pStyle w:val="TableContents"/>
              <w:bidi w:val="0"/>
              <w:spacing w:before="0" w:after="283"/>
              <w:jc w:val="left"/>
              <w:rPr/>
            </w:pPr>
            <w:r>
              <w:rPr/>
              <w:t> </w:t>
            </w:r>
          </w:p>
        </w:tc>
        <w:tc>
          <w:tcPr>
            <w:tcW w:w="1274" w:type="dxa"/>
            <w:tcBorders>
              <w:bottom w:val="double" w:sz="10" w:space="0" w:color="000000"/>
            </w:tcBorders>
            <w:shd w:fill="FFFFFF" w:val="clear"/>
            <w:vAlign w:val="center"/>
          </w:tcPr>
          <w:p>
            <w:pPr>
              <w:pStyle w:val="TableContents"/>
              <w:bidi w:val="0"/>
              <w:spacing w:before="0" w:after="283"/>
              <w:jc w:val="right"/>
              <w:rPr/>
            </w:pPr>
            <w:r>
              <w:rPr/>
              <w:t>108,376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Business Combination, the Company assumed an excise tax liability of $3,905,240 and a franchise tax liability of $8,428, both of which were incurred prior to the Closing and were recorded as assumed obligations from the reverse recapitalization transaction. Accordingly, the Company recorded a total accrued tax liability of $3,913,668 related to the Business Combination.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U.S. Treasury issued final regulations under Section 58.4501-2(e) clarifying the application of the 1% stock repurchase excise tax imposed by the Inflation Reduction Act. The regulations provide that redemptions of stock issued prior to August 16, 2022 are exempt from the excise tax if the shares were subject to mandatory redemption or stockholder put rights from issuance through redemption. The Company’s SPAC redemptions qualified for this exemption because the shares were issued before August 16, 2022 and were continuously subject to contractual redemption rights, including mandatory redemption and stockholder put options, which were redeemed in connection with extension votes. As a result, the previously recorded excise tax liability of $3,905,240 was reversed as of December 31, 2025, with a corresponding adjustment to additional paid-in capital.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Reclassifications and Revisions of Prior Period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 analysis of FASB ASC, ASC 250-</w:t>
      </w:r>
      <w:r>
        <w:rPr>
          <w:rFonts w:ascii="Times New Roman;Times;Serif" w:hAnsi="Times New Roman;Times;Serif"/>
          <w:b w:val="false"/>
          <w:i/>
          <w:caps w:val="false"/>
          <w:smallCaps w:val="false"/>
          <w:sz w:val="20"/>
        </w:rPr>
        <w:t>Accounting Changes and Error Corrections</w:t>
      </w:r>
      <w:r>
        <w:rPr>
          <w:rFonts w:ascii="Times New Roman;Times;Serif" w:hAnsi="Times New Roman;Times;Serif"/>
          <w:b w:val="false"/>
          <w:i w:val="false"/>
          <w:caps w:val="false"/>
          <w:smallCaps w:val="false"/>
          <w:sz w:val="20"/>
        </w:rPr>
        <w:t xml:space="preserve">, Staff Accounting Bulletin 99, </w:t>
      </w:r>
      <w:r>
        <w:rPr>
          <w:rFonts w:ascii="Times New Roman;Times;Serif" w:hAnsi="Times New Roman;Times;Serif"/>
          <w:b w:val="false"/>
          <w:i/>
          <w:caps w:val="false"/>
          <w:smallCaps w:val="false"/>
          <w:sz w:val="20"/>
        </w:rPr>
        <w:t>Materiality</w:t>
      </w:r>
      <w:r>
        <w:rPr>
          <w:rFonts w:ascii="Times New Roman;Times;Serif" w:hAnsi="Times New Roman;Times;Serif"/>
          <w:b w:val="false"/>
          <w:i w:val="false"/>
          <w:caps w:val="false"/>
          <w:smallCaps w:val="false"/>
          <w:sz w:val="20"/>
        </w:rPr>
        <w:t xml:space="preserve">, and Staff Accounting Bulletin 108, </w:t>
      </w:r>
      <w:r>
        <w:rPr>
          <w:rFonts w:ascii="Times New Roman;Times;Serif" w:hAnsi="Times New Roman;Times;Serif"/>
          <w:b w:val="false"/>
          <w:i/>
          <w:caps w:val="false"/>
          <w:smallCaps w:val="false"/>
          <w:sz w:val="20"/>
        </w:rPr>
        <w:t>Considering the Effects of Prior Year Misstatements when Quantifying Misstatements in Current Year Financial Statements</w:t>
      </w:r>
      <w:r>
        <w:rPr>
          <w:rFonts w:ascii="Times New Roman;Times;Serif" w:hAnsi="Times New Roman;Times;Serif"/>
          <w:b w:val="false"/>
          <w:i w:val="false"/>
          <w:caps w:val="false"/>
          <w:smallCaps w:val="false"/>
          <w:sz w:val="20"/>
        </w:rPr>
        <w:t>, the Company concluded that the identified revisions were not material to its previously issued financial statements. Accordingly, the prior period financial statements have been revised to reflect these reclassifications and corrections.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the Company revised its expense presentation by reallocating certain amounts previously reported under cost of goods sold to general and administrative, research and development, and sales and marketing expenses to better reflect the nature of the underlying costs. In addition, certain expenses were reclassified among these operating expense categories. These reclassifications had no effect on total revenue, loss from operations, net loss, or shareholders’ equity (deficit) for any period presented. The impact of these reclassifications was previously disclosed in the Company’s Q2 2025 Quarterly Report on Form 10-Q filed with the SEC on August 20, 2025. See such filing 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 Arising From Cash Deposits in Excess of Insured Limits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maintains a cash balance with a U.S. financial institution, in which the balance exceeds the FDIC insured limit of $250,000. As of June 30, 2026 and December 31, 2025, the Company’s cash balance held at the financial institution exceeded the FDIC limit. The Company has not experienced losses on this account and management believes the Company is not exposed to significant risks on such account.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significant customer is defined as a customer that accounts for 10% or more of the Company’s total revenue. For the three and six months ended June 30, 2026, two customers collectively accounted for 100% of total revenue. One customer represented approximately 60% and 61% of total revenue for the three and six months ended June 30, 2026, respectively, while the other customer represented approximately 40% and 39%, respectively. For the three months ended June 30, 2025, two customers accounted for approximately 81% and 15% of total revenue, respectively. For the six months ended June 30, 2025, the same two customers accounted for approximately 53% and 41% of total revenue,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Company’s accounts receivable balance consisted of two customers. One customer accounted for approximately 95% of total accounts receivable and the other customer accounted for approximately 5%. As of December 31, 2025, the Company’s accounts receivable balance was concentrated among three customers. One customer accounted for approximately 98% of total accounts receivable. The Company monitors the creditworthiness of its customers on an ongoing basis and believes that its credit risk is limited due to the financial strength and payment history of these customers. Management does not expect any material losses from these receivable concentrations and has not recorded an allowance for credit losses, as all receivables are considered highly collectible.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there was no accounts receivable allowance for credit losses. There were no credit losses for the three and six months ended June 30, 2026 and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as of June 30, 2026 and December 31, 2025,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24"/>
        <w:gridCol w:w="60"/>
        <w:gridCol w:w="3466"/>
        <w:gridCol w:w="60"/>
        <w:gridCol w:w="140"/>
        <w:gridCol w:w="800"/>
        <w:gridCol w:w="95"/>
        <w:gridCol w:w="60"/>
        <w:gridCol w:w="206"/>
        <w:gridCol w:w="1182"/>
        <w:gridCol w:w="112"/>
      </w:tblGrid>
      <w:tr>
        <w:trPr/>
        <w:tc>
          <w:tcPr>
            <w:tcW w:w="40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6"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Estimated </w:t>
              <w:br/>
              <w:t>useful life</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12" w:type="dxa"/>
            <w:tcBorders/>
            <w:vAlign w:val="center"/>
          </w:tcPr>
          <w:p>
            <w:pPr>
              <w:pStyle w:val="TableContents"/>
              <w:bidi w:val="0"/>
              <w:spacing w:before="0" w:after="283"/>
              <w:jc w:val="left"/>
              <w:rPr/>
            </w:pPr>
            <w:r>
              <w:rPr/>
              <w:t> </w:t>
            </w:r>
          </w:p>
        </w:tc>
      </w:tr>
      <w:tr>
        <w:trPr/>
        <w:tc>
          <w:tcPr>
            <w:tcW w:w="4024" w:type="dxa"/>
            <w:tcBorders/>
            <w:shd w:fill="CCEEFF" w:val="clear"/>
            <w:vAlign w:val="center"/>
          </w:tcPr>
          <w:p>
            <w:pPr>
              <w:pStyle w:val="TableContents"/>
              <w:bidi w:val="0"/>
              <w:spacing w:before="0" w:after="283"/>
              <w:jc w:val="left"/>
              <w:rPr/>
            </w:pPr>
            <w:r>
              <w:rPr/>
              <w:t>Equipment</w:t>
            </w:r>
          </w:p>
        </w:tc>
        <w:tc>
          <w:tcPr>
            <w:tcW w:w="60" w:type="dxa"/>
            <w:tcBorders/>
            <w:shd w:fill="CCEEFF" w:val="clear"/>
            <w:vAlign w:val="center"/>
          </w:tcPr>
          <w:p>
            <w:pPr>
              <w:pStyle w:val="TableContents"/>
              <w:bidi w:val="0"/>
              <w:spacing w:before="0" w:after="283"/>
              <w:jc w:val="left"/>
              <w:rPr/>
            </w:pPr>
            <w:r>
              <w:rPr/>
              <w:t> </w:t>
            </w:r>
          </w:p>
        </w:tc>
        <w:tc>
          <w:tcPr>
            <w:tcW w:w="3466" w:type="dxa"/>
            <w:tcBorders/>
            <w:shd w:fill="CCEEFF" w:val="clear"/>
            <w:vAlign w:val="center"/>
          </w:tcPr>
          <w:p>
            <w:pPr>
              <w:pStyle w:val="TableContents"/>
              <w:bidi w:val="0"/>
              <w:spacing w:before="0" w:after="283"/>
              <w:jc w:val="center"/>
              <w:rPr/>
            </w:pPr>
            <w:r>
              <w:rPr/>
              <w:t>3 to 10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665,303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665,303</w:t>
            </w:r>
          </w:p>
        </w:tc>
        <w:tc>
          <w:tcPr>
            <w:tcW w:w="112" w:type="dxa"/>
            <w:tcBorders/>
            <w:shd w:fill="CCEEFF" w:val="clear"/>
            <w:vAlign w:val="center"/>
          </w:tcPr>
          <w:p>
            <w:pPr>
              <w:pStyle w:val="TableContents"/>
              <w:bidi w:val="0"/>
              <w:spacing w:before="0" w:after="283"/>
              <w:jc w:val="left"/>
              <w:rPr/>
            </w:pPr>
            <w:r>
              <w:rPr/>
              <w:t> </w:t>
            </w:r>
          </w:p>
        </w:tc>
      </w:tr>
      <w:tr>
        <w:trPr/>
        <w:tc>
          <w:tcPr>
            <w:tcW w:w="4024"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3466" w:type="dxa"/>
            <w:tcBorders/>
            <w:shd w:fill="FFFFFF" w:val="clear"/>
            <w:vAlign w:val="center"/>
          </w:tcPr>
          <w:p>
            <w:pPr>
              <w:pStyle w:val="TableContents"/>
              <w:bidi w:val="0"/>
              <w:spacing w:before="0" w:after="283"/>
              <w:jc w:val="center"/>
              <w:rPr/>
            </w:pPr>
            <w:r>
              <w:rPr/>
              <w:t>Lesser of lease term or estimated useful life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16,400</w:t>
            </w:r>
          </w:p>
        </w:tc>
        <w:tc>
          <w:tcPr>
            <w:tcW w:w="112" w:type="dxa"/>
            <w:tcBorders/>
            <w:shd w:fill="FFFFFF" w:val="clear"/>
            <w:vAlign w:val="center"/>
          </w:tcPr>
          <w:p>
            <w:pPr>
              <w:pStyle w:val="TableContents"/>
              <w:bidi w:val="0"/>
              <w:spacing w:before="0" w:after="283"/>
              <w:jc w:val="left"/>
              <w:rPr/>
            </w:pPr>
            <w:r>
              <w:rPr/>
              <w:t> </w:t>
            </w:r>
          </w:p>
        </w:tc>
      </w:tr>
      <w:tr>
        <w:trPr/>
        <w:tc>
          <w:tcPr>
            <w:tcW w:w="4024" w:type="dxa"/>
            <w:tcBorders/>
            <w:shd w:fill="CCEEFF" w:val="clear"/>
            <w:vAlign w:val="center"/>
          </w:tcPr>
          <w:p>
            <w:pPr>
              <w:pStyle w:val="TableContents"/>
              <w:bidi w:val="0"/>
              <w:spacing w:before="0" w:after="283"/>
              <w:jc w:val="left"/>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346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(78,482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(36,463</w:t>
            </w:r>
          </w:p>
        </w:tc>
        <w:tc>
          <w:tcPr>
            <w:tcW w:w="112" w:type="dxa"/>
            <w:tcBorders/>
            <w:shd w:fill="CCEEFF" w:val="clear"/>
            <w:vAlign w:val="center"/>
          </w:tcPr>
          <w:p>
            <w:pPr>
              <w:pStyle w:val="TableContents"/>
              <w:bidi w:val="0"/>
              <w:spacing w:before="0" w:after="283"/>
              <w:jc w:val="left"/>
              <w:rPr/>
            </w:pPr>
            <w:r>
              <w:rPr/>
              <w:t>)</w:t>
            </w:r>
          </w:p>
        </w:tc>
      </w:tr>
      <w:tr>
        <w:trPr/>
        <w:tc>
          <w:tcPr>
            <w:tcW w:w="4024"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34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603,221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pPr>
            <w:r>
              <w:rPr/>
              <w:t>645,240</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183" w:type="dxa"/>
        <w:jc w:val="left"/>
        <w:tblInd w:w="0" w:type="dxa"/>
        <w:tblLayout w:type="fixed"/>
        <w:tblCellMar>
          <w:top w:w="0" w:type="dxa"/>
          <w:left w:w="0" w:type="dxa"/>
          <w:bottom w:w="0" w:type="dxa"/>
          <w:right w:w="0" w:type="dxa"/>
        </w:tblCellMar>
      </w:tblPr>
      <w:tblGrid>
        <w:gridCol w:w="2075"/>
        <w:gridCol w:w="60"/>
        <w:gridCol w:w="262"/>
        <w:gridCol w:w="1277"/>
        <w:gridCol w:w="112"/>
        <w:gridCol w:w="112"/>
        <w:gridCol w:w="262"/>
        <w:gridCol w:w="1051"/>
        <w:gridCol w:w="60"/>
        <w:gridCol w:w="60"/>
        <w:gridCol w:w="237"/>
        <w:gridCol w:w="1152"/>
        <w:gridCol w:w="101"/>
        <w:gridCol w:w="101"/>
        <w:gridCol w:w="237"/>
        <w:gridCol w:w="949"/>
        <w:gridCol w:w="75"/>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3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21,010</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051" w:type="dxa"/>
            <w:tcBorders/>
            <w:shd w:fill="CCEEFF" w:val="clear"/>
            <w:vAlign w:val="center"/>
          </w:tcPr>
          <w:p>
            <w:pPr>
              <w:pStyle w:val="TableContents"/>
              <w:bidi w:val="0"/>
              <w:spacing w:before="0" w:after="283"/>
              <w:jc w:val="right"/>
              <w:rPr/>
            </w:pPr>
            <w:r>
              <w:rPr/>
              <w:t>5,101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152" w:type="dxa"/>
            <w:tcBorders/>
            <w:shd w:fill="CCEEFF" w:val="clear"/>
            <w:vAlign w:val="center"/>
          </w:tcPr>
          <w:p>
            <w:pPr>
              <w:pStyle w:val="TableContents"/>
              <w:bidi w:val="0"/>
              <w:spacing w:before="0" w:after="283"/>
              <w:jc w:val="right"/>
              <w:rPr/>
            </w:pPr>
            <w:r>
              <w:rPr/>
              <w:t>42,019</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5,101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Capitalized Software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capitalizes eligible costs incurred in the development of internal-use software during the application development stage, in accordance with ASC 350-40, </w:t>
      </w:r>
      <w:r>
        <w:rPr>
          <w:rFonts w:ascii="Times New Roman;Times;Serif" w:hAnsi="Times New Roman;Times;Serif"/>
          <w:b w:val="false"/>
          <w:i/>
          <w:caps w:val="false"/>
          <w:smallCaps w:val="false"/>
          <w:sz w:val="20"/>
        </w:rPr>
        <w:t>Internal-Use Software</w:t>
      </w:r>
      <w:r>
        <w:rPr>
          <w:rFonts w:ascii="Times New Roman;Times;Serif" w:hAnsi="Times New Roman;Times;Serif"/>
          <w:b w:val="false"/>
          <w:i w:val="false"/>
          <w:caps w:val="false"/>
          <w:smallCaps w:val="false"/>
          <w:sz w:val="20"/>
        </w:rPr>
        <w:t>. Capitalized software development costs include direct labor, third-party services, and other direct costs associated with the development of new software or significant upgrades and enhancements to existing software. Costs incurred during the preliminary project stage and post-implementation/operational stage are expensed as incurred. Capitalized software development costs are amortized on a straight-line basis over the estimated useful life of the software, which management has determined to be five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capitalized software development costs for impairment whenever events or changes in circumstances indicate that the carrying amount may not be recoverable. During the six months ended June 30, 2026, the Company experienced a significant deterioration in operating activities, suspended manufacturing operations, furloughed its workforce, and began evaluating potential transactions involving the sale of substantially all of the Company’s assets and business. Management determined that these events represented impairment indicators and performed a recoverability assessment of the asset group that includes the Company’s capitalized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net carrying amount of capitalized software development costs was approximately $2.7 million. Based on management’s estimate of the undiscounted cash flows expected to be generated from the continued use and eventual disposition of the related asset group, management determined that the carrying amount was recoverable. Accordingly, no impairment loss related to the capitalized software was recognized as of 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capitalized software remained classified as held and used as of June 30, 2026, and amortization continues over its remaining estimated useful life. Management will continue to evaluate the recoverability and remaining useful life of the capitalized software in future reporting periods based on changes in expected use, operating plans, and any potential disposition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software was ready for its intended use as of January 1, 2026, and amortization commenced on that date. For the six months ended June 30, 2026 and 2025, the Company recorded amortization expense of $292,072 and $0, respectively.  For the three months ended June 30, 2026 and 2025, the Company recorded amortization expense of $146,036 and $0, respectively. Amortization expense is included in “Depreciation and amortization” in the condensed consolidated statements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9 - Loans and Fair Value Measurements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June 18, 2025 Business Combination, SEE ID had issued SAFE agreements totaling $8.5 million in proceeds. The SAFE agreements provided for conversion or settlement upon specified triggering events, including equity financings, liquidity events, or dissolution events. The Company classified the SAFE agreements as derivative liabilities and measured them at fair value using a probability-weighted expected return method.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closing of the Business Combination, which qualified as an equity financing under the SAFE agreements, all outstanding SAFE notes automatically converted into 2,909,057 shares of Common Stock, equivalent to approximately 116,362 shares after giving effect to the Company’s 1-for-25 reverse stock split. As a result, the Company recognized a $17.4 million fair value adjustment during the second quarter of 2025 based on the $14.00 per share closing price.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J.J. Astor Loans and Subsequent Assumption by LHT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5, 2025, the Company entered into a loan agreement with J.J. Astor &amp; Co. (“J.J. Astor”) for up to $5,000,000 in senior secured convertible loans, consisting of an initial $2,000,000 tranche and up to three additional $1,000,000 tranches. The initial tranche was issued as a $2,000,000 convertible note, of which $1,810,000 was funded, net of fees. The note matures on November 30, 2026 and is repayable in twelve monthly installments, consisting of an initial payment of $108,334 followed by eleven monthly payments of approximately $226,515, totaling $2,600,000. Each additional tranche, if funded at the lender’s discretion and subject to specified conditions (including equity line of credit (“ELOC”) availability, Nasdaq listing, minimum stock price, and trading volume requirements), will be issued as a $1,000,000 convertible note with $960,000 funded net of fees and accompanied by a warrant. The Company is required to use proceeds from its ELOC to make monthly payments, with 80% of ELOC proceeds remitted directly to the lender. Certain extraordinary receipts must also be applied toward repayment.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initial funding, the Company issued a warrant to purchase 230,770 shares at $1.69 per share, equivalent to approximately 9,231 shares at an exercise price of $42.25 per share after giving effect to the Company’s 1-for-25 reverse stock split. Additional tranches, if funded, would include similar convertible notes and warrants. The agreement also requires the use of ELOC proceeds for repayment, with 80% of such proceeds remitted directly to the lender, and certain extraordinary receipts applied to outstanding balances. See “Derivative Liabilities” below for further discussion of the accounting for the warrant and embedded features.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and six months ended June 30, 2026, the Company paid $794,078 and $1,568,894, respectively, to J.J. Astor. Including the initial repayment of $108,334 in December 2025, the Company had repaid $1,677,228 as of June 30, 2026, leaving an outstanding balance of $922,772. On June 23, 2026, J.J. Astor &amp; Co. entered into a Note Purchase and Assignment Agreement with LHT I, LLC, pursuant to which LHT I, LLC acquired J.J. Astor’s remaining rights and interests under the loan agreement and assumed the related lender obligations under the existing terms. In connection with the assignment, LHT I, LLC paid $924,616 directly to J.J. Astor. The difference of $1,844 was recorded as interest expense towards to J.J. Astor loan and rolled into the principal pf the LHT I loan. Accordingly, the Company recorded the remaining obligation as a short-term loan payable to LHT I, LLC as of 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also capitalized $190,000 of loan origination fees associated with the J.J. Astor financing, which are being amortized over the 12-month term of the loan at $15,833 per month. As of June 30, 2026, the remaining unamortized deferred financing costs were $79,167. Following the assignment of the loan to LHT I, LLC, the deferred financing costs remained associated with the outstanding loan and will continue to be amortized at $15,833 per month through the loan’s maturity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White Lion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17, 2026, the Company entered into a financing arrangement with White Lion Capital, LLC (“White Lion”) consisting of an equity purchase facility and senior secured convertible promissory notes. Under the equity purchase facility, the Company may sell up to $10.0 million of its common stock to White Lion from time to time through purchase notices, subject to specified pricing terms, ownership limitations, and other conditions.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 Company entered into a note purchase agreement pursuant to which White Lion agreed to purchase senior secured convertible promissory notes with an aggregate principal amount of up to $2.875 million, reflecting a 20% original issue discount on aggregate cash proceeds of up to $2.3 million. The notes are secured by substantially all of the Company’s assets, and are convertible into common stock at a discount to the market price, subject to further reductions in the conversion price upon certain events of default. In connection with the financing, White Lion is also entitled to commitment shares valued at $120,000 and warrants to purchase up to $2.0 million of common stock at an exercise price equal to 99% of the closing market price on the trading day immediately preceding the applicable exercise date. Aggregate share issuances under the agreements are subject to a 19.99% cap on the Company’s outstanding common stock unless stockholder approval is obtained.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White Lion had funded $690,000 to the Company under the convertible note arrangement, net of $172,500 of issuance costs. Under the $10.0 million equity purchase facility, the Company had submitted purchase notices totaling $640,192 and issued 329,898 shares of common stock to White Lion. In addition, White Lion had exercised $180,000 of warrants, resulting in the issuance of 65,596 shares of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elected to account for the White Lion convertible notes under the fair value option, with changes in the fair value of the notes recognized in earnings each reporting period through settlement. During the second quarter of 2026, White Lion converted the outstanding notes and accrued amounts into shares of the Company’s common stock. In connection with these conversions, the Company issued 360,165 shares of common stock in satisfaction of an aggregate of approximately $895,155 of principal and accrued interest. The related note liability was derecognized upon conversion, and by June 26, 2026, the White Lion convertible notes had been fully converted and satisfied. Accordingly, no White Lion convertible note liability remained outstanding as of 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Phillips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23, 2026, the Company entered into a note purchase agreement with Phillips Equities &amp; Trust, LLC (“Phillips”), pursuant to which Phillips agreed to provide $500,000 of financing in the form of secured convertible debt. The note matures 12 months from the issuance date and bears interest at 6% per annum. The note is convertible, at the holder’s option, into shares of the Company’s common stock at a conversion price equal to 80% of the applicable market price, subject to the exchange cap, beneficial ownership limitations, applicable securities laws, and trading market requirements. The Company expects to use the proceeds primarily for general corporate purposes, including supporting liquidity and servicing existing debt obligations.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instruments that are not traded on an exchange are valued using conventional valuation models that incorporate both observable and unobservable inputs. Although the Company is publicly traded, the valuation of these derivative instruments requires significant unobservable inputs, including assumptions related to expected volatility, term, probability-weighted scenarios, and other model-based estimates. Accordingly, these derivative instruments are classified within Level 3 of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Business Combination, all outstanding SAFE notes were converted into shares of the Company’s common stock, resulting in a significant reduction in the related derivative liabilities during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Company entered into a loan agreement with J.J. Astor that included detachable warrants and embedded derivative features, including a conversion feature and a call option. These instruments and features did not qualify for equity classification under ASC 815 and were therefore bifurcated and accounted for as derivative liabilities at fair value, with changes in fair value recognized in the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on April 17, 2026, the Company entered into a warrant purchase agreement with White Lion Capital, LLC. Pursuant to the agreement, White Lion has the right to purchase up to $2.0 million of the Company’s common stock at an exercise price equal to 99% of the closing market price on the trading day immediately preceding the applicable exercise date. The warrant does not qualify for equity classification under ASC 815 and is therefore accounted for as a derivative liability at fair value, with changes in fair value recognized in the condensed consolidated statements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issuance, the fair value of the J.J. Astor warrant liability was $210,776, and the fair value of the combined embedded conversion and call option derivative liability was $26,100. These amounts were bifurcated from the related loan proceeds. The derivative liabilities are remeasured at fair value at each reporting date. The fair value of the J.J. Astor warrant liability decreased to $52,535 as of December 31, 2025 and further decreased to $12,736 as of 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issuance, the fair value of the White Lion warrant liability was $101,243. The warrant liability is remeasured at fair value at each reporting date, and its fair value increased to $158,906 as of 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reflected in the table below, derivative liabilities are presented at fair value at the beginning and end of each reporting period. As of June 30, 2026, the Company’s derivative liabilities consisted of (i) the J.J. Astor warrant liability of $12,736, (ii) the White Lion warrant liability of $158,906, and (iii) the J.J. Astor embedded conversion and call option derivative liability of $26,100, for total derivative liabilities of $197,742. The fair value of the embedded conversion and call option derivative liability is estimated using the Probability-Weighted Expected Return Method (“PWERM”) model, which incorporates significant unobservable inputs, including expected monthly installment payments, the repayment percentage, the applicable discount factor, and scenario probability assumptions. The warrant liability is measured using the Black-Scholes option pricing model, with key inputs including Company asset volatility, Company equity volatility, Company size-adjusted asset volatility, Company size-adjusted equity volatility, the risk-free interest rate, and the liquidity horizon. Changes in the fair value of these derivative instruments during the periods are recognized in the condensed consolidated statement of operations in the periods in which they occur.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90"/>
        <w:gridCol w:w="60"/>
        <w:gridCol w:w="180"/>
        <w:gridCol w:w="1036"/>
        <w:gridCol w:w="76"/>
        <w:gridCol w:w="76"/>
        <w:gridCol w:w="180"/>
        <w:gridCol w:w="1521"/>
        <w:gridCol w:w="95"/>
        <w:gridCol w:w="60"/>
        <w:gridCol w:w="159"/>
        <w:gridCol w:w="915"/>
        <w:gridCol w:w="67"/>
        <w:gridCol w:w="67"/>
        <w:gridCol w:w="159"/>
        <w:gridCol w:w="1344"/>
        <w:gridCol w:w="120"/>
      </w:tblGrid>
      <w:tr>
        <w:trPr/>
        <w:tc>
          <w:tcPr>
            <w:tcW w:w="4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20" w:type="dxa"/>
            <w:tcBorders/>
            <w:vAlign w:val="center"/>
          </w:tcPr>
          <w:p>
            <w:pPr>
              <w:pStyle w:val="TableContents"/>
              <w:bidi w:val="0"/>
              <w:spacing w:before="0" w:after="283"/>
              <w:jc w:val="left"/>
              <w:rPr/>
            </w:pPr>
            <w:r>
              <w:rPr/>
              <w:t> </w:t>
            </w:r>
          </w:p>
        </w:tc>
      </w:tr>
      <w:tr>
        <w:trPr/>
        <w:tc>
          <w:tcPr>
            <w:tcW w:w="4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0" w:type="dxa"/>
            <w:tcBorders/>
            <w:vAlign w:val="center"/>
          </w:tcPr>
          <w:p>
            <w:pPr>
              <w:pStyle w:val="TableContents"/>
              <w:bidi w:val="0"/>
              <w:spacing w:before="0" w:after="283"/>
              <w:jc w:val="left"/>
              <w:rPr/>
            </w:pPr>
            <w:r>
              <w:rPr/>
              <w:t> </w:t>
            </w:r>
          </w:p>
        </w:tc>
      </w:tr>
      <w:tr>
        <w:trPr/>
        <w:tc>
          <w:tcPr>
            <w:tcW w:w="4090" w:type="dxa"/>
            <w:tcBorders/>
            <w:shd w:fill="CCEEFF" w:val="clear"/>
            <w:vAlign w:val="center"/>
          </w:tcPr>
          <w:p>
            <w:pPr>
              <w:pStyle w:val="TableContents"/>
              <w:bidi w:val="0"/>
              <w:spacing w:before="0" w:after="283"/>
              <w:jc w:val="left"/>
              <w:rPr/>
            </w:pPr>
            <w:r>
              <w:rPr/>
              <w:t>Fair Value - beginning of period</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78,635</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521" w:type="dxa"/>
            <w:tcBorders/>
            <w:shd w:fill="CCEEFF" w:val="clear"/>
            <w:vAlign w:val="center"/>
          </w:tcPr>
          <w:p>
            <w:pPr>
              <w:pStyle w:val="TableContents"/>
              <w:bidi w:val="0"/>
              <w:spacing w:before="0" w:after="283"/>
              <w:jc w:val="right"/>
              <w:rPr/>
            </w:pPr>
            <w:r>
              <w:rPr/>
              <w:t>22,746,675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78,635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344" w:type="dxa"/>
            <w:tcBorders/>
            <w:shd w:fill="CCEEFF" w:val="clear"/>
            <w:vAlign w:val="center"/>
          </w:tcPr>
          <w:p>
            <w:pPr>
              <w:pStyle w:val="TableContents"/>
              <w:bidi w:val="0"/>
              <w:spacing w:before="0" w:after="283"/>
              <w:jc w:val="right"/>
              <w:rPr/>
            </w:pPr>
            <w:r>
              <w:rPr/>
              <w:t>23,334,626</w:t>
            </w:r>
          </w:p>
        </w:tc>
        <w:tc>
          <w:tcPr>
            <w:tcW w:w="120" w:type="dxa"/>
            <w:tcBorders/>
            <w:shd w:fill="CCEEFF" w:val="clear"/>
            <w:vAlign w:val="center"/>
          </w:tcPr>
          <w:p>
            <w:pPr>
              <w:pStyle w:val="TableContents"/>
              <w:bidi w:val="0"/>
              <w:spacing w:before="0" w:after="283"/>
              <w:jc w:val="left"/>
              <w:rPr/>
            </w:pPr>
            <w:r>
              <w:rPr/>
              <w:t> </w:t>
            </w:r>
          </w:p>
        </w:tc>
      </w:tr>
      <w:tr>
        <w:trPr/>
        <w:tc>
          <w:tcPr>
            <w:tcW w:w="4090" w:type="dxa"/>
            <w:tcBorders/>
            <w:shd w:fill="FFFFFF" w:val="clear"/>
            <w:vAlign w:val="center"/>
          </w:tcPr>
          <w:p>
            <w:pPr>
              <w:pStyle w:val="TableContents"/>
              <w:bidi w:val="0"/>
              <w:spacing w:before="0" w:after="283"/>
              <w:jc w:val="left"/>
              <w:rPr/>
            </w:pPr>
            <w:r>
              <w:rPr/>
              <w:t>Addition</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101,243</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101,243</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pPr>
            <w:r>
              <w:rPr/>
              <w:t>23,752</w:t>
            </w:r>
          </w:p>
        </w:tc>
        <w:tc>
          <w:tcPr>
            <w:tcW w:w="120" w:type="dxa"/>
            <w:tcBorders/>
            <w:shd w:fill="FFFFFF" w:val="clear"/>
            <w:vAlign w:val="center"/>
          </w:tcPr>
          <w:p>
            <w:pPr>
              <w:pStyle w:val="TableContents"/>
              <w:bidi w:val="0"/>
              <w:spacing w:before="0" w:after="283"/>
              <w:jc w:val="left"/>
              <w:rPr/>
            </w:pPr>
            <w:r>
              <w:rPr/>
              <w:t> </w:t>
            </w:r>
          </w:p>
        </w:tc>
      </w:tr>
      <w:tr>
        <w:trPr/>
        <w:tc>
          <w:tcPr>
            <w:tcW w:w="4090"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17,864</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17,864</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6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r>
      <w:tr>
        <w:trPr/>
        <w:tc>
          <w:tcPr>
            <w:tcW w:w="4090" w:type="dxa"/>
            <w:tcBorders/>
            <w:shd w:fill="FFFFFF" w:val="clear"/>
            <w:vAlign w:val="center"/>
          </w:tcPr>
          <w:p>
            <w:pPr>
              <w:pStyle w:val="TableContents"/>
              <w:bidi w:val="0"/>
              <w:spacing w:before="0" w:after="283"/>
              <w:jc w:val="left"/>
              <w:rPr/>
            </w:pPr>
            <w:r>
              <w:rPr/>
              <w:t>Change in fair value of SAFE notes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17,980,118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pPr>
            <w:r>
              <w:rPr/>
              <w:t>17,368,415</w:t>
            </w:r>
          </w:p>
        </w:tc>
        <w:tc>
          <w:tcPr>
            <w:tcW w:w="120" w:type="dxa"/>
            <w:tcBorders/>
            <w:shd w:fill="FFFFFF" w:val="clear"/>
            <w:vAlign w:val="center"/>
          </w:tcPr>
          <w:p>
            <w:pPr>
              <w:pStyle w:val="TableContents"/>
              <w:bidi w:val="0"/>
              <w:spacing w:before="0" w:after="283"/>
              <w:jc w:val="left"/>
              <w:rPr/>
            </w:pPr>
            <w:r>
              <w:rPr/>
              <w:t> </w:t>
            </w:r>
          </w:p>
        </w:tc>
      </w:tr>
      <w:tr>
        <w:trPr/>
        <w:tc>
          <w:tcPr>
            <w:tcW w:w="4090" w:type="dxa"/>
            <w:tcBorders/>
            <w:shd w:fill="CCEEFF" w:val="clear"/>
            <w:vAlign w:val="center"/>
          </w:tcPr>
          <w:p>
            <w:pPr>
              <w:pStyle w:val="TableContents"/>
              <w:bidi w:val="0"/>
              <w:spacing w:before="0" w:after="283"/>
              <w:jc w:val="left"/>
              <w:rPr/>
            </w:pPr>
            <w:r>
              <w:rPr/>
              <w:t>SAFE notes converted into shares</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21" w:type="dxa"/>
            <w:tcBorders>
              <w:bottom w:val="single" w:sz="12" w:space="0" w:color="000000"/>
            </w:tcBorders>
            <w:shd w:fill="CCEEFF" w:val="clear"/>
            <w:tcMar>
              <w:bottom w:w="28" w:type="dxa"/>
            </w:tcMar>
            <w:vAlign w:val="center"/>
          </w:tcPr>
          <w:p>
            <w:pPr>
              <w:pStyle w:val="TableContents"/>
              <w:bidi w:val="0"/>
              <w:spacing w:before="0" w:after="283"/>
              <w:jc w:val="right"/>
              <w:rPr/>
            </w:pPr>
            <w:r>
              <w:rPr/>
              <w:t>(40,726,793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15"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4" w:type="dxa"/>
            <w:tcBorders>
              <w:bottom w:val="single" w:sz="12" w:space="0" w:color="000000"/>
            </w:tcBorders>
            <w:shd w:fill="CCEEFF" w:val="clear"/>
            <w:tcMar>
              <w:bottom w:w="28" w:type="dxa"/>
            </w:tcMar>
            <w:vAlign w:val="center"/>
          </w:tcPr>
          <w:p>
            <w:pPr>
              <w:pStyle w:val="TableContents"/>
              <w:bidi w:val="0"/>
              <w:spacing w:before="0" w:after="283"/>
              <w:jc w:val="right"/>
              <w:rPr/>
            </w:pPr>
            <w:r>
              <w:rPr/>
              <w:t>(40,726,793</w:t>
            </w:r>
          </w:p>
        </w:tc>
        <w:tc>
          <w:tcPr>
            <w:tcW w:w="120" w:type="dxa"/>
            <w:tcBorders/>
            <w:shd w:fill="CCEEFF" w:val="clear"/>
            <w:vAlign w:val="center"/>
          </w:tcPr>
          <w:p>
            <w:pPr>
              <w:pStyle w:val="TableContents"/>
              <w:bidi w:val="0"/>
              <w:spacing w:before="0" w:after="283"/>
              <w:jc w:val="left"/>
              <w:rPr/>
            </w:pPr>
            <w:r>
              <w:rPr/>
              <w:t>)</w:t>
            </w:r>
          </w:p>
        </w:tc>
      </w:tr>
      <w:tr>
        <w:trPr/>
        <w:tc>
          <w:tcPr>
            <w:tcW w:w="4090" w:type="dxa"/>
            <w:tcBorders/>
            <w:shd w:fill="FFFFFF" w:val="clear"/>
            <w:vAlign w:val="center"/>
          </w:tcPr>
          <w:p>
            <w:pPr>
              <w:pStyle w:val="TableContents"/>
              <w:bidi w:val="0"/>
              <w:spacing w:before="0" w:after="283"/>
              <w:jc w:val="left"/>
              <w:rPr/>
            </w:pPr>
            <w:r>
              <w:rPr/>
              <w:t>Fair Value - end of period</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10" w:space="0" w:color="000000"/>
            </w:tcBorders>
            <w:shd w:fill="FFFFFF" w:val="clear"/>
            <w:tcMar>
              <w:bottom w:w="28" w:type="dxa"/>
            </w:tcMar>
            <w:vAlign w:val="center"/>
          </w:tcPr>
          <w:p>
            <w:pPr>
              <w:pStyle w:val="TableContents"/>
              <w:bidi w:val="0"/>
              <w:spacing w:before="0" w:after="283"/>
              <w:jc w:val="right"/>
              <w:rPr/>
            </w:pPr>
            <w:r>
              <w:rPr/>
              <w:t>197,742</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8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52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15" w:type="dxa"/>
            <w:tcBorders>
              <w:bottom w:val="double" w:sz="10" w:space="0" w:color="000000"/>
            </w:tcBorders>
            <w:shd w:fill="FFFFFF" w:val="clear"/>
            <w:tcMar>
              <w:bottom w:w="28" w:type="dxa"/>
            </w:tcMar>
            <w:vAlign w:val="center"/>
          </w:tcPr>
          <w:p>
            <w:pPr>
              <w:pStyle w:val="TableContents"/>
              <w:bidi w:val="0"/>
              <w:spacing w:before="0" w:after="283"/>
              <w:jc w:val="right"/>
              <w:rPr/>
            </w:pPr>
            <w:r>
              <w:rPr/>
              <w:t>197,742</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4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2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Equity Line of Credit (“ELOC”)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its funding efforts, on June 18, 2025, the Company entered into a Standby Equity Purchase Agreement (“SEPA”) with New Circle Principal Investment LLC (“New Circle”), pursuant to which the Company has the right, but not the obligation, to sell up to $50 million of its Common Shares through June 18, 2028, at a price based on a discounted VWAP formula. Under the SEPA, the Company may sell shares at pricing based on either (i) 97% of the lowest daily VWAP over the three trading days following a purchase notice or (ii) the greater of 85% of VWAP or the lowest sale price on a specified trading day, depending on the timing of the notice.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satisfied the $350,000 commitment fee through the issuance of 106,383 shares of Common Stock in September 2025, equivalent to approximately 4,255 shares after giving effect to the Company’s 1-for-25 reverse stock split. The commitment fee was expensed in September 2025. Prior to the issuance of a purchase notice, the SEPA is accounted for as a purchased put option on the Company’s equity. Upon delivery of a purchase notice, it represents a forward contract to issue Common Stock. As the arrangement is an embedded derivative that does not qualify for the equity scope exception under ASC 815, it is bifurcated and measured at fair value, with changes recognized in the statement of operations. The fair value of the derivative was de minimis as of June 30, 2026 and was not recorded on the balance sheet.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13, December 30, December 31, 2025, and February 10, 2026, the Company delivered purchase notices for 30,000, 500,000, 1,000,000, and 20,000 shares, respectively, at settlement prices of $2.62, $0.32, $0.32, and $0.26 per share, respectively. After giving effect to the Company’s 1-for-25 reverse stock split, these amounts are equivalent to 1,200, 20,000, 40,000, and 800 shares, respectively, at split-adjusted settlement prices of $65.50, $8.00, $8.00, and $6.50 per share, respectively. This resulted in gross proceeds of $78,516, $159,500, $317,000, and $5,164, respectively. The Company issued 30,000 shares in October 2025, 1,000,000 shares in December 2025, 500,000 shares in January 2026, and 20,000 shares in February 2026, equivalent to 1,200, 40,000, 20,000, and 800 shares, respectively, after giving effect to the 1-for-25 reverse stock split. Because the shares were issued to New Circle at prices determined using a discounted VWAP formula, the cash proceeds received were below the fair value of the shares on the respective issuance dates. The Company measured the shares at fair value on the date cash was received and recognized the difference between (i) the fair value of the shares issued and (ii) the proceeds calculated pursuant to the discounted VWAP pricing terms. For the three and six months ended June 30, 2026, the Company recognized losses of $0 and $1,256, respectively, related to share issuances under the New Circle ELOC in the condensed consolidated statements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Company terminated its SEPA with New Circle. The Company terminated the SEPA as part of a shift in its financing strategy. The termination was effected by notice permitted under the SEPA. Following the termination, neither the Company nor New Circle has any further right to require purchases of the Company’s common stock under the SEPA after the termination date, and the SEPA otherwise ceased to be of further force and effect, except for those provisions that expressly survive termination. No termination fee or penalty was payable by the Company in connection with the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17, 2026, the Company entered into a Common Stock Purchase Agreement with White Lion, pursuant to which the Company has the right, but not the obligation, to sell to White Lion from time to time up to an aggregate of $10.0 million of the Company’s common stock during the commitment period, subject to the terms, conditions, and limitations set forth in the agreement. The Company may initiate purchases by delivering either a Rapid Purchase Notice or a VWAP Purchase Notice to White Lion. For each purchase, the Company is required to deliver the applicable shares to White Lion’s designated brokerage account through the Depository Trust Company’s DWAC system. The purchase price and investment amount are determined in accordance with the pricing provisions applicable to the selected purchase mechanism, including, for VWAP purchases, the volume-weighted average market price of the Company’s common stock during the applicable valuation period. Each purchase is subject to customary closing conditions, applicable beneficial ownership limitations, and certain restricted periods during which purchase notices may not be delivered. Generally, White Lion is required to remit the applicable purchase amount to the Company no later than one business day following the applicable purchase notice date or, in the case of a VWAP purchase, the applicable VWAP valuation period. The Company may not deliver a subsequent purchase notice until the prior purchase has closed, unless White Lion waives such restriction in writing.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Throughout June 2026, the Company delivered multiple purchase notices to White Lion and received aggregate proceeds of $640,192 in exchange for the issuance of 329,898 shares of common stock. Because the shares were issued at prices determined using a discounted VWAP formula, the proceeds received were less than the fair value of the shares on the respective issuance dates. Accordingly, the Company measured the shares issued at fair value and recognized the difference between the fair value of the shares and the related cash proceeds as a loss on issuance. For both the three and six months ended June 30, 2026, the Company recognized a de minimis loss related to share issuances under the White Lion ELOC in the condensed consolidated statements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Recapitalization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described in Note 4, </w:t>
      </w:r>
      <w:r>
        <w:rPr>
          <w:rFonts w:ascii="Times New Roman;Times;Serif" w:hAnsi="Times New Roman;Times;Serif"/>
          <w:b w:val="false"/>
          <w:i/>
          <w:caps w:val="false"/>
          <w:smallCaps w:val="false"/>
          <w:sz w:val="20"/>
        </w:rPr>
        <w:t>Business Combination and Reverse Recapitalization</w:t>
      </w:r>
      <w:r>
        <w:rPr>
          <w:rFonts w:ascii="Times New Roman;Times;Serif" w:hAnsi="Times New Roman;Times;Serif"/>
          <w:b w:val="false"/>
          <w:i w:val="false"/>
          <w:caps w:val="false"/>
          <w:smallCaps w:val="false"/>
          <w:sz w:val="20"/>
        </w:rPr>
        <w:t>, all historical equity data, including stock option data, in these condensed consolidated financial statements has been retrospectively adjusted by the Exchange Ratio to reflect the reverse recapitalization that occurred on June 18,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29, 2026, the Company effected a 1-for-25 reverse stock split of its common stock. Accordingly, all share amounts presented below have been retrospectively adjusted, where applicable, to reflect the effect of the reverse stock split. See Note 3 – </w:t>
      </w:r>
      <w:r>
        <w:rPr>
          <w:rFonts w:ascii="Times New Roman;Times;Serif" w:hAnsi="Times New Roman;Times;Serif"/>
          <w:b w:val="false"/>
          <w:i/>
          <w:caps w:val="false"/>
          <w:smallCaps w:val="false"/>
          <w:sz w:val="20"/>
        </w:rPr>
        <w:t>Reverse Stock Split</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was authorized to issue 300,000,000 shares of common stock, par value $0.0001 per share, of which 1,966,042 shares were issued and outstanding.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Board of Directors approved the issuance of 13,598 (Post-split) shares of common stock to a service provider. Although the administrative steps necessary to formally issue the shares were completed in April 2026, the related share-based compensation expense was recognized during the three months ended March 31, 2026 based on the date of Board approval.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issued an aggregate of 330,698 shares of common stock pursuant to ELOC purchase notices, including 800 shares issued to New Circle and 329,898 shares issued to White Lion. In addition, the Company issued 360,165 shares to White Lion upon the conversion of an aggregate of $895,155 of outstanding principal and accrued interest, 65,596 shares upon the exercise of $180,000 warrants, and 25,052 shares in settlement of $120,000 of commitment fees.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2021, the Legacy Company adopted the 2021 Equity Incentive Plan (the “2021 Incentive Plan”), which provided for grants of awards in the form of incentive stock options, non-qualified stock options, and restricted stock awards to selected employees, directors, and independent contractors of the Company and its affiliates, as defined in the Incentive Plan. The Company assumed the 2021 Plan and all outstanding awards thereunder in connection with the Business Combination. Initially, the aggregate number of shares of Common Stock that may be issued by the Legacy Company under the 2021 Incentive Plan was not to exceed 4,672,506, equivalent to approximately 186,900 shares after giving effect to the Company’s 1-for-25 reverse stock split. Following the Business Combination, no additional awards may be granted under the 2021 Incentive Plan, and no additional shares remain available for issuance under the 2021 Incentive Plan other than the 2,032,521 shares that were subject to the outstanding awards that were assumed by the Company in connection with the Business Combination, equivalent to approximately 81,301 shares after giving effect to the Company’s 1-for-25 reverse stock split. The purpose of the 2021 Incentive Plan was to encourage and enable selected participants to acquire or to increase their holdings of the Company’s Common Stock and other equity-based interests in the Company in order to promote a closer identification of their interests with those of the Company and its stockholders. The 2021 Incentive Plan is administered by the Company’s Board of Directors. As of June 30, 2026, the Company has granted awards under the 2021 Equity Incentive Plan as described in the stock options and restricted stock awards subsections below under this note.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June 18, 2025, in connection with the closing of the transactions contemplated by the Business Combination Agreement, the Company adopted the 2024 Equity Incentive Plan (the “2024 Incentive Plan”). The purpose of the 2024 Incentive Plan is to advance the interests of the Company and its stockholders by attracting, retaining and rewarding employees, consultants and directors and by motivating such persons to contribute to the growth and profitability of the Company. The 2024 Incentive Plan provides for the grant of awards in the form of stock options, stock appreciation rights, restricted stock awards, restricted stock units, performance shares, performance units, cash-based awards and other stock-based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2024 Incentive Plan initially provided for a maximum aggregate of 2,927,332 shares of the Company’s Common Stock available for issuance, equivalent to approximately 117,093 shares after giving effect to the Company’s 1-for-25 reverse stock split. Subsequently, the Company’s stockholders approved an amendment to the 2024 Incentive Plan increasing the number of shares of Common Stock available for issuance thereunder to 19,959,853 shares on a pre-split basis. Following the effectiveness of the Company’s 1-for-25 reverse stock split on May 29, 2026, the 19,959,853-share reserve was adjusted to approximately 798,394 shares of Common Stock, subject to the treatment of fractional shares and other adjustments provided for under the plan. The 2024 Incentive Plan also provides for an annual increase, beginning with the first fiscal year following stockholder approval and continuing for up to ten years, equal to the lesser of 10% of the outstanding shares as of the end of the immediately preceding fiscal year or such lesser amount as determined by the Board.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Incentive Plan is administered by the Board of Directors or a duly authorized committee thereof, which has the authority to determine the participants to whom awards will be granted, the type and number of awards, and the terms and conditions of each award, including vesting, subject to the provisions of the plan. The 2024 Incentive Plan will remain in effect until terminated by the Compensation Committee, provided that no awards may be granted later than ten years from the earlier of the date of Board or stockholder approval. As of June 30, 2026, no equity awards had been granted pursuant to the 2024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 option activity pursuant to the 2021 Incentive Plan for the three and six months ended June 30, 2026 is as follows. All share and price information have been adjusted to reflect a 1-for-25 reverse stock split effective May 29, 2026. </w:t>
      </w:r>
    </w:p>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4385"/>
        <w:gridCol w:w="60"/>
        <w:gridCol w:w="60"/>
        <w:gridCol w:w="680"/>
        <w:gridCol w:w="95"/>
        <w:gridCol w:w="60"/>
        <w:gridCol w:w="328"/>
        <w:gridCol w:w="1597"/>
        <w:gridCol w:w="60"/>
        <w:gridCol w:w="60"/>
        <w:gridCol w:w="231"/>
        <w:gridCol w:w="1694"/>
        <w:gridCol w:w="75"/>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Weighted-Average</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Weighted-Average</w:t>
              <w:br/>
              <w:t>Remaining</w:t>
              <w:br/>
              <w:t>Contractual Life</w:t>
              <w:br/>
              <w:t>(in years)</w:t>
            </w:r>
          </w:p>
        </w:tc>
        <w:tc>
          <w:tcPr>
            <w:tcW w:w="75"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Options outstanding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74,472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1597" w:type="dxa"/>
            <w:tcBorders/>
            <w:shd w:fill="CCEEFF" w:val="clear"/>
            <w:vAlign w:val="center"/>
          </w:tcPr>
          <w:p>
            <w:pPr>
              <w:pStyle w:val="TableContents"/>
              <w:bidi w:val="0"/>
              <w:spacing w:before="0" w:after="283"/>
              <w:jc w:val="right"/>
              <w:rPr/>
            </w:pPr>
            <w:r>
              <w:rPr/>
              <w:t>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5.66</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5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Options canceled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97" w:type="dxa"/>
            <w:tcBorders>
              <w:bottom w:val="single" w:sz="12" w:space="0" w:color="000000"/>
            </w:tcBorders>
            <w:shd w:fill="FFFFFF" w:val="clear"/>
            <w:tcMar>
              <w:bottom w:w="28" w:type="dxa"/>
            </w:tcMar>
            <w:vAlign w:val="center"/>
          </w:tcPr>
          <w:p>
            <w:pPr>
              <w:pStyle w:val="TableContents"/>
              <w:bidi w:val="0"/>
              <w:spacing w:before="0" w:after="283"/>
              <w:jc w:val="right"/>
              <w:rPr/>
            </w:pPr>
            <w:r>
              <w:rPr/>
              <w:t>215.27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n/a</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Options outstanding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74,465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97" w:type="dxa"/>
            <w:tcBorders>
              <w:bottom w:val="single" w:sz="12" w:space="0" w:color="000000"/>
            </w:tcBorders>
            <w:shd w:fill="CCEEFF" w:val="clear"/>
            <w:tcMar>
              <w:bottom w:w="28" w:type="dxa"/>
            </w:tcMar>
            <w:vAlign w:val="center"/>
          </w:tcPr>
          <w:p>
            <w:pPr>
              <w:pStyle w:val="TableContents"/>
              <w:bidi w:val="0"/>
              <w:spacing w:before="0" w:after="283"/>
              <w:jc w:val="right"/>
              <w:rPr/>
            </w:pPr>
            <w:r>
              <w:rPr/>
              <w:t>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CCEEFF" w:val="clear"/>
            <w:tcMar>
              <w:bottom w:w="28" w:type="dxa"/>
            </w:tcMar>
            <w:vAlign w:val="center"/>
          </w:tcPr>
          <w:p>
            <w:pPr>
              <w:pStyle w:val="TableContents"/>
              <w:bidi w:val="0"/>
              <w:spacing w:before="0" w:after="283"/>
              <w:jc w:val="right"/>
              <w:rPr/>
            </w:pPr>
            <w:r>
              <w:rPr/>
              <w:t>5.16</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Total vested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74,010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597" w:type="dxa"/>
            <w:tcBorders>
              <w:bottom w:val="double" w:sz="10" w:space="0" w:color="000000"/>
            </w:tcBorders>
            <w:shd w:fill="FFFFFF" w:val="clear"/>
            <w:tcMar>
              <w:bottom w:w="28" w:type="dxa"/>
            </w:tcMar>
            <w:vAlign w:val="center"/>
          </w:tcPr>
          <w:p>
            <w:pPr>
              <w:pStyle w:val="TableContents"/>
              <w:bidi w:val="0"/>
              <w:spacing w:before="0" w:after="283"/>
              <w:jc w:val="right"/>
              <w:rPr/>
            </w:pPr>
            <w:r>
              <w:rPr/>
              <w:t>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double" w:sz="10" w:space="0" w:color="000000"/>
            </w:tcBorders>
            <w:shd w:fill="FFFFFF" w:val="clear"/>
            <w:tcMar>
              <w:bottom w:w="28" w:type="dxa"/>
            </w:tcMar>
            <w:vAlign w:val="center"/>
          </w:tcPr>
          <w:p>
            <w:pPr>
              <w:pStyle w:val="TableContents"/>
              <w:bidi w:val="0"/>
              <w:spacing w:before="0" w:after="283"/>
              <w:jc w:val="right"/>
              <w:rPr/>
            </w:pPr>
            <w:r>
              <w:rPr/>
              <w:t>5.59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June 30, 2026 and 2025, the Company recognized share-based compensation expense relating to stock options totaling $1,611 and $9,736 respectively. For the six months ended June 30, 2026 and 2025, the Company recognized share-based compensation expense relating to stock options totaling $3,364 and $19,742, respectively. Share-based compensation expense relating to stock options is included in “General and administrative” in the accompanying condensed consolidated statements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and six months ended June 30, 2026 and 2025, the Company did not grant any restricted stock awards. As of June 30, 2026 and December 31, 2025, there were no unvested restricted stock awards.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Net (Loss)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Earnings  per share accounting requires the presentation of both basic and diluted (loss) earnings  per share on the face of the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shares of Common Stock underlying stock options totaling 74,465 and 74,472, respectively, and no unvested restricted stock awards, were excluded from the calculation of diluted net loss per share because they were anti-dilutive. In addition, 626,199 warrants outstanding as of June 30, 2026 were out of the money and also excluded from the calculation of diluted net loss per share for being anti-dilutive. Convertible debt outstanding during the periods was also excluded from the calculation of diluted net loss per share, as the effect of applying the if-converted method would have been anti-dilutive.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2024, the Company entered into a non-cancelable operating lease agreement for a facility in Bethesda, Maryland. This lease commenced on July 1, 2024, has a term of 63 months, and has an initial base rent of approximately $7,000 per month  that increases annually by three percent. Under the terms of this lease, the Company is also responsible for their proportionate share of expenses associated with the facility and its premises.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2025, the Company entered into a non-cancelable operating lease agreement with an unrelated third-party for a 16,000 square foot facility in Puerto Rico. This lease commenced on February 1, 2025 on a month-to-month basis and became a long-term lease with an initial term of 5 years on June 1, 2025. The initial base rent is $7.00 per square foot, or $9,333 per month, for the first two years, increasing to $7.50 per square foot for the third year and increases by 3% annually thereafter. Under the terms of this lease, the Company is also responsible for their own utilities and a proportionate share of the operating expenses of the premises, not to exceed $3.25 per square foot.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were as follows for the three and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8604" w:type="dxa"/>
        <w:jc w:val="left"/>
        <w:tblInd w:w="0" w:type="dxa"/>
        <w:tblLayout w:type="fixed"/>
        <w:tblCellMar>
          <w:top w:w="0" w:type="dxa"/>
          <w:left w:w="0" w:type="dxa"/>
          <w:bottom w:w="0" w:type="dxa"/>
          <w:right w:w="0" w:type="dxa"/>
        </w:tblCellMar>
      </w:tblPr>
      <w:tblGrid>
        <w:gridCol w:w="2555"/>
        <w:gridCol w:w="60"/>
        <w:gridCol w:w="240"/>
        <w:gridCol w:w="1166"/>
        <w:gridCol w:w="102"/>
        <w:gridCol w:w="102"/>
        <w:gridCol w:w="240"/>
        <w:gridCol w:w="1166"/>
        <w:gridCol w:w="60"/>
        <w:gridCol w:w="60"/>
        <w:gridCol w:w="194"/>
        <w:gridCol w:w="1112"/>
        <w:gridCol w:w="83"/>
        <w:gridCol w:w="83"/>
        <w:gridCol w:w="194"/>
        <w:gridCol w:w="1112"/>
        <w:gridCol w:w="75"/>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4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51,298</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31,468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102,596</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53,021</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Other short-term lease cost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FFFFFF" w:val="clear"/>
            <w:tcMar>
              <w:bottom w:w="28" w:type="dxa"/>
            </w:tcMar>
            <w:vAlign w:val="center"/>
          </w:tcPr>
          <w:p>
            <w:pPr>
              <w:pStyle w:val="TableContents"/>
              <w:bidi w:val="0"/>
              <w:spacing w:before="0" w:after="283"/>
              <w:jc w:val="right"/>
              <w:rPr/>
            </w:pPr>
            <w:r>
              <w:rPr/>
              <w:t>6,180</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FFFFFF" w:val="clear"/>
            <w:tcMar>
              <w:bottom w:w="28" w:type="dxa"/>
            </w:tcMar>
            <w:vAlign w:val="center"/>
          </w:tcPr>
          <w:p>
            <w:pPr>
              <w:pStyle w:val="TableContents"/>
              <w:bidi w:val="0"/>
              <w:spacing w:before="0" w:after="283"/>
              <w:jc w:val="right"/>
              <w:rPr/>
            </w:pPr>
            <w:r>
              <w:rPr/>
              <w:t>30,667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29,798</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63,668</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57,478</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62,135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10" w:space="0" w:color="000000"/>
            </w:tcBorders>
            <w:shd w:fill="CCEEFF" w:val="clear"/>
            <w:tcMar>
              <w:bottom w:w="28" w:type="dxa"/>
            </w:tcMar>
            <w:vAlign w:val="center"/>
          </w:tcPr>
          <w:p>
            <w:pPr>
              <w:pStyle w:val="TableContents"/>
              <w:bidi w:val="0"/>
              <w:spacing w:before="0" w:after="283"/>
              <w:jc w:val="right"/>
              <w:rPr/>
            </w:pPr>
            <w:r>
              <w:rPr/>
              <w:t>132,394</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10" w:space="0" w:color="000000"/>
            </w:tcBorders>
            <w:shd w:fill="CCEEFF" w:val="clear"/>
            <w:tcMar>
              <w:bottom w:w="28" w:type="dxa"/>
            </w:tcMar>
            <w:vAlign w:val="center"/>
          </w:tcPr>
          <w:p>
            <w:pPr>
              <w:pStyle w:val="TableContents"/>
              <w:bidi w:val="0"/>
              <w:spacing w:before="0" w:after="283"/>
              <w:jc w:val="right"/>
              <w:rPr/>
            </w:pPr>
            <w:r>
              <w:rPr/>
              <w:t>116,689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operating lease asset and liabilities recorded as of June 30, 2026 and December 31, 2025:</w:t>
      </w:r>
    </w:p>
    <w:p>
      <w:pPr>
        <w:pStyle w:val="TextBody"/>
        <w:bidi w:val="0"/>
        <w:spacing w:before="0" w:after="0"/>
        <w:ind w:left="0" w:right="0" w:hanging="0"/>
        <w:jc w:val="left"/>
        <w:rPr>
          <w:caps w:val="false"/>
          <w:smallCaps w:val="false"/>
        </w:rPr>
      </w:pPr>
      <w:r>
        <w:rPr>
          <w:caps w:val="false"/>
          <w:smallCaps w:val="false"/>
        </w:rPr>
        <w:t> </w:t>
      </w:r>
    </w:p>
    <w:tbl>
      <w:tblPr>
        <w:tblW w:w="7589" w:type="dxa"/>
        <w:jc w:val="left"/>
        <w:tblInd w:w="0" w:type="dxa"/>
        <w:tblLayout w:type="fixed"/>
        <w:tblCellMar>
          <w:top w:w="0" w:type="dxa"/>
          <w:left w:w="0" w:type="dxa"/>
          <w:bottom w:w="0" w:type="dxa"/>
          <w:right w:w="0" w:type="dxa"/>
        </w:tblCellMar>
      </w:tblPr>
      <w:tblGrid>
        <w:gridCol w:w="4475"/>
        <w:gridCol w:w="60"/>
        <w:gridCol w:w="140"/>
        <w:gridCol w:w="995"/>
        <w:gridCol w:w="215"/>
        <w:gridCol w:w="60"/>
        <w:gridCol w:w="174"/>
        <w:gridCol w:w="1240"/>
        <w:gridCol w:w="230"/>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23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Operating lease right-of-use asset,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630,958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701,878</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148,808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pPr>
            <w:r>
              <w:rPr/>
              <w:t>139,963</w:t>
            </w:r>
          </w:p>
        </w:tc>
        <w:tc>
          <w:tcPr>
            <w:tcW w:w="23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CCEEFF" w:val="clear"/>
            <w:tcMar>
              <w:bottom w:w="28" w:type="dxa"/>
            </w:tcMar>
            <w:vAlign w:val="center"/>
          </w:tcPr>
          <w:p>
            <w:pPr>
              <w:pStyle w:val="TableContents"/>
              <w:bidi w:val="0"/>
              <w:spacing w:before="0" w:after="283"/>
              <w:jc w:val="right"/>
              <w:rPr/>
            </w:pPr>
            <w:r>
              <w:rPr/>
              <w:t>500,910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0" w:type="dxa"/>
            <w:tcBorders>
              <w:bottom w:val="single" w:sz="12" w:space="0" w:color="000000"/>
            </w:tcBorders>
            <w:shd w:fill="CCEEFF" w:val="clear"/>
            <w:tcMar>
              <w:bottom w:w="28" w:type="dxa"/>
            </w:tcMar>
            <w:vAlign w:val="center"/>
          </w:tcPr>
          <w:p>
            <w:pPr>
              <w:pStyle w:val="TableContents"/>
              <w:bidi w:val="0"/>
              <w:spacing w:before="0" w:after="283"/>
              <w:jc w:val="right"/>
              <w:rPr/>
            </w:pPr>
            <w:r>
              <w:rPr/>
              <w:t>577,656</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5" w:type="dxa"/>
            <w:tcBorders>
              <w:bottom w:val="double" w:sz="10" w:space="0" w:color="000000"/>
            </w:tcBorders>
            <w:shd w:fill="FFFFFF" w:val="clear"/>
            <w:tcMar>
              <w:bottom w:w="28" w:type="dxa"/>
            </w:tcMar>
            <w:vAlign w:val="center"/>
          </w:tcPr>
          <w:p>
            <w:pPr>
              <w:pStyle w:val="TableContents"/>
              <w:bidi w:val="0"/>
              <w:spacing w:before="0" w:after="283"/>
              <w:jc w:val="right"/>
              <w:rPr/>
            </w:pPr>
            <w:r>
              <w:rPr/>
              <w:t>649,718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40" w:type="dxa"/>
            <w:tcBorders>
              <w:bottom w:val="double" w:sz="10" w:space="0" w:color="000000"/>
            </w:tcBorders>
            <w:shd w:fill="FFFFFF" w:val="clear"/>
            <w:tcMar>
              <w:bottom w:w="28" w:type="dxa"/>
            </w:tcMar>
            <w:vAlign w:val="center"/>
          </w:tcPr>
          <w:p>
            <w:pPr>
              <w:pStyle w:val="TableContents"/>
              <w:bidi w:val="0"/>
              <w:spacing w:before="0" w:after="283"/>
              <w:jc w:val="right"/>
              <w:rPr/>
            </w:pPr>
            <w:r>
              <w:rPr/>
              <w:t>717,619</w:t>
            </w:r>
          </w:p>
        </w:tc>
        <w:tc>
          <w:tcPr>
            <w:tcW w:w="23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Weighted average operating lease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3.66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pPr>
            <w:r>
              <w:rPr/>
              <w:t>4.16 years</w:t>
            </w:r>
          </w:p>
        </w:tc>
        <w:tc>
          <w:tcPr>
            <w:tcW w:w="23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Weighted average operating lease discount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9.51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9.53</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future minimum lease commitments as of June 30, 2026:</w:t>
      </w:r>
    </w:p>
    <w:p>
      <w:pPr>
        <w:pStyle w:val="TextBody"/>
        <w:bidi w:val="0"/>
        <w:spacing w:before="0" w:after="0"/>
        <w:ind w:left="0" w:right="0" w:hanging="0"/>
        <w:jc w:val="left"/>
        <w:rPr>
          <w:caps w:val="false"/>
          <w:smallCaps w:val="false"/>
        </w:rPr>
      </w:pPr>
      <w:r>
        <w:rPr>
          <w:caps w:val="false"/>
          <w:smallCaps w:val="false"/>
        </w:rPr>
        <w:t> </w:t>
      </w:r>
    </w:p>
    <w:tbl>
      <w:tblPr>
        <w:tblW w:w="4934" w:type="dxa"/>
        <w:jc w:val="left"/>
        <w:tblInd w:w="0" w:type="dxa"/>
        <w:tblLayout w:type="fixed"/>
        <w:tblCellMar>
          <w:top w:w="0" w:type="dxa"/>
          <w:left w:w="0" w:type="dxa"/>
          <w:bottom w:w="28" w:type="dxa"/>
          <w:right w:w="0" w:type="dxa"/>
        </w:tblCellMar>
      </w:tblPr>
      <w:tblGrid>
        <w:gridCol w:w="2975"/>
        <w:gridCol w:w="60"/>
        <w:gridCol w:w="246"/>
        <w:gridCol w:w="1543"/>
        <w:gridCol w:w="110"/>
      </w:tblGrid>
      <w:tr>
        <w:trPr/>
        <w:tc>
          <w:tcPr>
            <w:tcW w:w="2975" w:type="dxa"/>
            <w:tcBorders>
              <w:bottom w:val="single" w:sz="12" w:space="0" w:color="000000"/>
            </w:tcBorders>
            <w:vAlign w:val="center"/>
          </w:tcPr>
          <w:p>
            <w:pPr>
              <w:pStyle w:val="TableContents"/>
              <w:bidi w:val="0"/>
              <w:spacing w:before="0" w:after="283"/>
              <w:jc w:val="left"/>
              <w:rPr>
                <w:b/>
              </w:rPr>
            </w:pPr>
            <w:r>
              <w:rPr>
                <w:b/>
              </w:rPr>
              <w:t>Year ending December 31,</w:t>
            </w:r>
          </w:p>
        </w:tc>
        <w:tc>
          <w:tcPr>
            <w:tcW w:w="60" w:type="dxa"/>
            <w:tcBorders>
              <w:bottom w:val="single" w:sz="12" w:space="0" w:color="000000"/>
            </w:tcBorders>
            <w:vAlign w:val="center"/>
          </w:tcPr>
          <w:p>
            <w:pPr>
              <w:pStyle w:val="TableContents"/>
              <w:bidi w:val="0"/>
              <w:spacing w:before="0" w:after="283"/>
              <w:jc w:val="left"/>
              <w:rPr/>
            </w:pPr>
            <w:r>
              <w:rPr/>
              <w:t> </w:t>
            </w:r>
          </w:p>
        </w:tc>
        <w:tc>
          <w:tcPr>
            <w:tcW w:w="1789" w:type="dxa"/>
            <w:gridSpan w:val="2"/>
            <w:tcBorders>
              <w:bottom w:val="single" w:sz="12" w:space="0" w:color="000000"/>
            </w:tcBorders>
            <w:vAlign w:val="center"/>
          </w:tcPr>
          <w:p>
            <w:pPr>
              <w:pStyle w:val="TableContents"/>
              <w:bidi w:val="0"/>
              <w:spacing w:before="0" w:after="283"/>
              <w:jc w:val="left"/>
              <w:rPr>
                <w:b/>
              </w:rPr>
            </w:pPr>
            <w:r>
              <w:rPr>
                <w:b/>
              </w:rPr>
              <w:t>Operating Leases</w:t>
            </w:r>
          </w:p>
        </w:tc>
        <w:tc>
          <w:tcPr>
            <w:tcW w:w="110" w:type="dxa"/>
            <w:tcBorders/>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pPr>
            <w:r>
              <w:rPr/>
              <w:t>2026 (remaining 6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1543" w:type="dxa"/>
            <w:tcBorders/>
            <w:shd w:fill="CCEEFF" w:val="clear"/>
            <w:tcMar>
              <w:bottom w:w="0" w:type="dxa"/>
            </w:tcMar>
            <w:vAlign w:val="center"/>
          </w:tcPr>
          <w:p>
            <w:pPr>
              <w:pStyle w:val="TableContents"/>
              <w:bidi w:val="0"/>
              <w:spacing w:before="0" w:after="283"/>
              <w:jc w:val="right"/>
              <w:rPr/>
            </w:pPr>
            <w:r>
              <w:rPr/>
              <w:t>100,885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1543" w:type="dxa"/>
            <w:tcBorders/>
            <w:shd w:fill="FFFFFF" w:val="clear"/>
            <w:tcMar>
              <w:bottom w:w="0" w:type="dxa"/>
            </w:tcMar>
            <w:vAlign w:val="center"/>
          </w:tcPr>
          <w:p>
            <w:pPr>
              <w:pStyle w:val="TableContents"/>
              <w:bidi w:val="0"/>
              <w:spacing w:before="0" w:after="283"/>
              <w:jc w:val="right"/>
              <w:rPr/>
            </w:pPr>
            <w:r>
              <w:rPr/>
              <w:t>207,783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w:t>
            </w:r>
          </w:p>
        </w:tc>
        <w:tc>
          <w:tcPr>
            <w:tcW w:w="1543" w:type="dxa"/>
            <w:tcBorders/>
            <w:shd w:fill="CCEEFF" w:val="clear"/>
            <w:tcMar>
              <w:bottom w:w="0" w:type="dxa"/>
            </w:tcMar>
            <w:vAlign w:val="center"/>
          </w:tcPr>
          <w:p>
            <w:pPr>
              <w:pStyle w:val="TableContents"/>
              <w:bidi w:val="0"/>
              <w:spacing w:before="0" w:after="283"/>
              <w:jc w:val="right"/>
              <w:rPr/>
            </w:pPr>
            <w:r>
              <w:rPr/>
              <w:t>215,950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1543" w:type="dxa"/>
            <w:tcBorders/>
            <w:shd w:fill="FFFFFF" w:val="clear"/>
            <w:tcMar>
              <w:bottom w:w="0" w:type="dxa"/>
            </w:tcMar>
            <w:vAlign w:val="center"/>
          </w:tcPr>
          <w:p>
            <w:pPr>
              <w:pStyle w:val="TableContents"/>
              <w:bidi w:val="0"/>
              <w:spacing w:before="0" w:after="283"/>
              <w:jc w:val="right"/>
              <w:rPr/>
            </w:pPr>
            <w:r>
              <w:rPr/>
              <w:t>197,905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1543" w:type="dxa"/>
            <w:tcBorders/>
            <w:shd w:fill="CCEEFF" w:val="clear"/>
            <w:tcMar>
              <w:bottom w:w="0" w:type="dxa"/>
            </w:tcMar>
            <w:vAlign w:val="center"/>
          </w:tcPr>
          <w:p>
            <w:pPr>
              <w:pStyle w:val="TableContents"/>
              <w:bidi w:val="0"/>
              <w:spacing w:before="0" w:after="283"/>
              <w:jc w:val="right"/>
              <w:rPr/>
            </w:pPr>
            <w:r>
              <w:rPr/>
              <w:t>42,436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bottom w:val="single" w:sz="12" w:space="0" w:color="000000"/>
            </w:tcBorders>
            <w:shd w:fill="FFFFFF" w:val="clear"/>
            <w:vAlign w:val="center"/>
          </w:tcPr>
          <w:p>
            <w:pPr>
              <w:pStyle w:val="TableContents"/>
              <w:bidi w:val="0"/>
              <w:spacing w:before="0" w:after="283"/>
              <w:jc w:val="left"/>
              <w:rPr/>
            </w:pPr>
            <w:r>
              <w:rPr/>
              <w:t> </w:t>
            </w:r>
          </w:p>
        </w:tc>
        <w:tc>
          <w:tcPr>
            <w:tcW w:w="1543" w:type="dxa"/>
            <w:tcBorders>
              <w:bottom w:val="single" w:sz="12"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pPr>
            <w:r>
              <w:rPr/>
              <w:t>Total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w:t>
            </w:r>
          </w:p>
        </w:tc>
        <w:tc>
          <w:tcPr>
            <w:tcW w:w="1543" w:type="dxa"/>
            <w:tcBorders/>
            <w:shd w:fill="CCEEFF" w:val="clear"/>
            <w:tcMar>
              <w:bottom w:w="0" w:type="dxa"/>
            </w:tcMar>
            <w:vAlign w:val="center"/>
          </w:tcPr>
          <w:p>
            <w:pPr>
              <w:pStyle w:val="TableContents"/>
              <w:bidi w:val="0"/>
              <w:spacing w:before="0" w:after="283"/>
              <w:jc w:val="right"/>
              <w:rPr/>
            </w:pPr>
            <w:r>
              <w:rPr/>
              <w:t>764,958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pPr>
            <w:r>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bottom w:val="single" w:sz="12" w:space="0" w:color="000000"/>
            </w:tcBorders>
            <w:shd w:fill="FFFFFF" w:val="clear"/>
            <w:vAlign w:val="center"/>
          </w:tcPr>
          <w:p>
            <w:pPr>
              <w:pStyle w:val="TableContents"/>
              <w:bidi w:val="0"/>
              <w:spacing w:before="0" w:after="283"/>
              <w:jc w:val="left"/>
              <w:rPr/>
            </w:pPr>
            <w:r>
              <w:rPr/>
              <w:t> </w:t>
            </w:r>
          </w:p>
        </w:tc>
        <w:tc>
          <w:tcPr>
            <w:tcW w:w="1543" w:type="dxa"/>
            <w:tcBorders>
              <w:bottom w:val="single" w:sz="12" w:space="0" w:color="000000"/>
            </w:tcBorders>
            <w:shd w:fill="FFFFFF" w:val="clear"/>
            <w:vAlign w:val="center"/>
          </w:tcPr>
          <w:p>
            <w:pPr>
              <w:pStyle w:val="TableContents"/>
              <w:bidi w:val="0"/>
              <w:spacing w:before="0" w:after="283"/>
              <w:jc w:val="right"/>
              <w:rPr/>
            </w:pPr>
            <w:r>
              <w:rPr/>
              <w:t>(115,240</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2975" w:type="dxa"/>
            <w:tcBorders/>
            <w:shd w:fill="CCEEFF" w:val="clear"/>
            <w:tcMar>
              <w:bottom w:w="0" w:type="dxa"/>
            </w:tcMar>
            <w:vAlign w:val="center"/>
          </w:tcPr>
          <w:p>
            <w:pPr>
              <w:pStyle w:val="TableContents"/>
              <w:bidi w:val="0"/>
              <w:spacing w:before="0" w:after="283"/>
              <w:jc w:val="left"/>
              <w:rPr/>
            </w:pPr>
            <w:r>
              <w:rPr/>
              <w:t>Present value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bottom w:val="single" w:sz="12" w:space="0" w:color="000000"/>
            </w:tcBorders>
            <w:shd w:fill="CCEEFF" w:val="clear"/>
            <w:vAlign w:val="center"/>
          </w:tcPr>
          <w:p>
            <w:pPr>
              <w:pStyle w:val="TableContents"/>
              <w:bidi w:val="0"/>
              <w:spacing w:before="0" w:after="283"/>
              <w:jc w:val="left"/>
              <w:rPr/>
            </w:pPr>
            <w:r>
              <w:rPr/>
              <w:t>$</w:t>
            </w:r>
          </w:p>
        </w:tc>
        <w:tc>
          <w:tcPr>
            <w:tcW w:w="1543" w:type="dxa"/>
            <w:tcBorders>
              <w:bottom w:val="single" w:sz="12" w:space="0" w:color="000000"/>
            </w:tcBorders>
            <w:shd w:fill="CCEEFF" w:val="clear"/>
            <w:vAlign w:val="center"/>
          </w:tcPr>
          <w:p>
            <w:pPr>
              <w:pStyle w:val="TableContents"/>
              <w:bidi w:val="0"/>
              <w:spacing w:before="0" w:after="283"/>
              <w:jc w:val="right"/>
              <w:rPr/>
            </w:pPr>
            <w:r>
              <w:rPr/>
              <w:t>649,718</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parties include entities under common ownership or control with the Company, as well as entities owned, in whole or in part, by the Company’s management, company officers, members of the board of directors, or significant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entered into SAFE agreements with Charles Maddox, the Chief Financial Officer and a stockholder, for proceeds totaling $28,833. On June 18, 2025, in connection with the Business Combination, these SAFE agreements converted into 2,156 (Pre-split) Common Stock shares of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Pope Technologies LLC is owned by a former member of the Company’s Board of Directors who resigned in March 2026 and, accordingly, was considered a related party during the three and six months ended June 30, 2026. In August 2024, the Company entered into a $1,500,000 purchase order with Pope Technologies LLC for certain products, hardware, installation, programming, subscription, and training services. As of December 31, 2024, $750,000 had been received and recorded as deferred revenue in the accompanying condensed consolidated balance sheets. During the year ended December 31, 2025, the Company delivered the products and recognized $750,000 of revenue from the deferred revenue balance. For the three and six months ended June 30, 2026 and 2025, no revenue was recognized from Pope Technologies LLC. As of June 30, 2026 and December 31, 2025, the Company had an accounts receivable balance of $0 and $78,412, respectively, from Pope Technologies LLC.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January 1, 2022, the Company entered into a customer agreement with PRB Transportation, LLC, a related party owned in part by Charles Maddox, the Company’s Chief Financial Officer and a stockholder, and Jeff Andersen, a stockholder. The Company recognized revenue of $4,898 and $4,254 for the three months ended June 30, 2026 and 2025, respectively, and $9,554 and $8,592 for the six months ended June 30, 2026 and 2025, respectively. As of June 30, 2026 and December 31, 2025, the Company had accounts receivable balances of $1,630 and $2,928, respectively, from PRB Transportation, LLC.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Beginning on August 1, 2024, the Company began subleasing an office/warehouse space in Las Vegas, Nevada from Pope Technologies LLC. The term of this sublease is for one year and the rent is $1,280 per month. Pope Technologies LLC is owned by a former director of the Company. In September 2025, the Company paid a one-time fee of $13,610 to terminate the lease. The lease was terminated as of September 30, 2025. Beginning October 1, 2025, the Company entered into a month-to-month lease for the same location at a monthly lease of $5,813. This lease was terminated effective December 31, 2025. During the first quarter of 2026, the Company accrued $17,438 of lease expense related to the property. Upon further evaluation, the Company determined that the accrual was no longer required and reversed the full amount during the second quarter of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Edmund Nabrotzky, Chief Executive Officer of the Company, Charles Maddox, Chief Financial Officer and Chief Operating Officer of the Company, and Vijayan Nambiar, Chief Technology Officer of the Company loaned the Company an aggregate of $349,996 and may make additional loans to the Company up to an aggregate amount of $600,000 (collectively, the “Executive Loans”). The Executive Loans have been made, on the terms and conditions of an unsecured, subordinated promissory note (the “Executive Notes”). The Executive Notes accrue interest at a rate of 7.5% per annum, and will be paid in quarterly installments on July 1, 2026, October 1, 2026 with a final payment by December 31, 2026. All of the Company’s obligations and payments under the Executive Notes are subordinated to the Company’s obligations under agreements with 3rd party lenders. As of June 30, 2026, the Company had short-term debt from related parties of $349,996 and accrued interest payable of $10,344 related to the Executive Loans, which was included in interest payable to related parties  in the condensed consolidated balance sheets.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as of June 30, 2026 and December 31, 2025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7744" w:type="dxa"/>
        <w:jc w:val="left"/>
        <w:tblInd w:w="0" w:type="dxa"/>
        <w:tblLayout w:type="fixed"/>
        <w:tblCellMar>
          <w:top w:w="0" w:type="dxa"/>
          <w:left w:w="0" w:type="dxa"/>
          <w:bottom w:w="0" w:type="dxa"/>
          <w:right w:w="0" w:type="dxa"/>
        </w:tblCellMar>
      </w:tblPr>
      <w:tblGrid>
        <w:gridCol w:w="4955"/>
        <w:gridCol w:w="60"/>
        <w:gridCol w:w="140"/>
        <w:gridCol w:w="980"/>
        <w:gridCol w:w="60"/>
        <w:gridCol w:w="60"/>
        <w:gridCol w:w="176"/>
        <w:gridCol w:w="1238"/>
        <w:gridCol w:w="75"/>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Transaction costs accrued for Cohen Capital Market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1,003,500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1,003,500</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Board of directors’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1,158,528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780,000</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23,919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42,689</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Total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2,185,947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8" w:type="dxa"/>
            <w:tcBorders>
              <w:bottom w:val="double" w:sz="10" w:space="0" w:color="000000"/>
            </w:tcBorders>
            <w:shd w:fill="FFFFFF" w:val="clear"/>
            <w:tcMar>
              <w:bottom w:w="28" w:type="dxa"/>
            </w:tcMar>
            <w:vAlign w:val="center"/>
          </w:tcPr>
          <w:p>
            <w:pPr>
              <w:pStyle w:val="TableContents"/>
              <w:bidi w:val="0"/>
              <w:spacing w:before="0" w:after="283"/>
              <w:jc w:val="right"/>
              <w:rPr/>
            </w:pPr>
            <w:r>
              <w:rPr/>
              <w:t>1,826,189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as of June 30, 2026 and December 31, 2025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4609" w:type="dxa"/>
        <w:jc w:val="left"/>
        <w:tblInd w:w="0" w:type="dxa"/>
        <w:tblLayout w:type="fixed"/>
        <w:tblCellMar>
          <w:top w:w="0" w:type="dxa"/>
          <w:left w:w="0" w:type="dxa"/>
          <w:bottom w:w="0" w:type="dxa"/>
          <w:right w:w="0" w:type="dxa"/>
        </w:tblCellMar>
      </w:tblPr>
      <w:tblGrid>
        <w:gridCol w:w="1820"/>
        <w:gridCol w:w="60"/>
        <w:gridCol w:w="140"/>
        <w:gridCol w:w="980"/>
        <w:gridCol w:w="60"/>
        <w:gridCol w:w="60"/>
        <w:gridCol w:w="176"/>
        <w:gridCol w:w="1238"/>
        <w:gridCol w:w="75"/>
      </w:tblGrid>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1,761,277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1,064,464</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203,835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116,106</w:t>
            </w:r>
          </w:p>
        </w:tc>
        <w:tc>
          <w:tcPr>
            <w:tcW w:w="75"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Shipping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96,411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64,066</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Inventory in transit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607,177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FFFFFF" w:val="clear"/>
            <w:tcMar>
              <w:bottom w:w="28" w:type="dxa"/>
            </w:tcMar>
            <w:vAlign w:val="center"/>
          </w:tcPr>
          <w:p>
            <w:pPr>
              <w:pStyle w:val="TableContents"/>
              <w:bidi w:val="0"/>
              <w:spacing w:before="0" w:after="283"/>
              <w:jc w:val="right"/>
              <w:rPr/>
            </w:pPr>
            <w:r>
              <w:rPr/>
              <w:t>186,245</w:t>
            </w:r>
          </w:p>
        </w:tc>
        <w:tc>
          <w:tcPr>
            <w:tcW w:w="75"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Total inventories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2,668,700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10" w:space="0" w:color="000000"/>
            </w:tcBorders>
            <w:shd w:fill="CCEEFF" w:val="clear"/>
            <w:tcMar>
              <w:bottom w:w="28" w:type="dxa"/>
            </w:tcMar>
            <w:vAlign w:val="center"/>
          </w:tcPr>
          <w:p>
            <w:pPr>
              <w:pStyle w:val="TableContents"/>
              <w:bidi w:val="0"/>
              <w:spacing w:before="0" w:after="283"/>
              <w:jc w:val="right"/>
              <w:rPr/>
            </w:pPr>
            <w:r>
              <w:rPr/>
              <w:t>1,430,881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Commitment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Since September 2025 the Company has been involved in litigation related to the termination of one of its former founders. Refer to the Form 10-K filed with the SEC on March 11, 2026 for a more comprehensive discussion of the matter. There were no material developments in this matter during the periods ended June 30, 2026. The outcome of this legal proceeding is not known or probable at this time; accordingly, no amounts have been accrued for a potential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matters described above, in the ordinary course of business, the Company may become subject to litigation, claims, and regulatory matters. Although it is not feasible to predict the outcome of these matters, the Company believes, unless otherwise indicated below, given the information currently available, that the ultimate resolution of any particular matter, or matters that have the same legal or factual issues, will not have a material adverse effect on its financial condition,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 single reportable segment, which generates revenue primarily from the sale of hardware and related software solutions. Hardware sales represent the initial step in a customer’s adoption of the Company’s SaaS subscription platform and have been a primary driver of revenue growth. This segment also includes ongoing software and subscription services, as well as exclusivity arrangements with resellers that provide protection from competitive sales. The Company’s focus on this integrated hardware and software model reflects its strategy to expand customer adoption of its SaaS platform, strengthen reseller partnerships, and drive sustainable growth.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by major product and service category for the three and six months ended June 30, 2026 and 2025 is presented in the table below. Product revenue consists primarily of sales of hardware devices, such as bridges, labels, and gateways, which represent the initial step in a customer’s adoption of the Company’s SaaS subscription platform and have contributed significantly to overall revenue growth. Service revenue consists primarily of software subscription services providing access to the Company’s cloud-based platform, as well as related training, support, exclusivity arrangement services, professional services such as onboarding and consulting, and feasibility study reports provided to customers. For the three and six months ended June 30, 2026 and 2025, revenue was generated predominantly from services. All of the Company’s revenue for the periods presented was generated from customers located in the United States.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1430"/>
        <w:gridCol w:w="60"/>
        <w:gridCol w:w="229"/>
        <w:gridCol w:w="1114"/>
        <w:gridCol w:w="98"/>
        <w:gridCol w:w="98"/>
        <w:gridCol w:w="229"/>
        <w:gridCol w:w="1310"/>
        <w:gridCol w:w="60"/>
        <w:gridCol w:w="60"/>
        <w:gridCol w:w="207"/>
        <w:gridCol w:w="1005"/>
        <w:gridCol w:w="88"/>
        <w:gridCol w:w="88"/>
        <w:gridCol w:w="207"/>
        <w:gridCol w:w="1182"/>
        <w:gridCol w:w="75"/>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5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3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1114" w:type="dxa"/>
            <w:tcBorders/>
            <w:shd w:fill="CCEEFF" w:val="clear"/>
            <w:vAlign w:val="center"/>
          </w:tcPr>
          <w:p>
            <w:pPr>
              <w:pStyle w:val="TableContents"/>
              <w:bidi w:val="0"/>
              <w:spacing w:before="0" w:after="283"/>
              <w:jc w:val="right"/>
              <w:rPr/>
            </w:pPr>
            <w:r>
              <w:rPr/>
              <w:t>12,398</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1310" w:type="dxa"/>
            <w:tcBorders/>
            <w:shd w:fill="CCEEFF" w:val="clear"/>
            <w:vAlign w:val="center"/>
          </w:tcPr>
          <w:p>
            <w:pPr>
              <w:pStyle w:val="TableContents"/>
              <w:bidi w:val="0"/>
              <w:spacing w:before="0" w:after="283"/>
              <w:jc w:val="right"/>
              <w:rPr/>
            </w:pPr>
            <w:r>
              <w:rPr/>
              <w:t>120,971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005" w:type="dxa"/>
            <w:tcBorders/>
            <w:shd w:fill="CCEEFF" w:val="clear"/>
            <w:vAlign w:val="center"/>
          </w:tcPr>
          <w:p>
            <w:pPr>
              <w:pStyle w:val="TableContents"/>
              <w:bidi w:val="0"/>
              <w:spacing w:before="0" w:after="283"/>
              <w:jc w:val="right"/>
              <w:rPr/>
            </w:pPr>
            <w:r>
              <w:rPr/>
              <w:t>24,612</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473,469</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0" w:type="dxa"/>
            <w:tcBorders>
              <w:bottom w:val="single" w:sz="12" w:space="0" w:color="000000"/>
            </w:tcBorders>
            <w:shd w:fill="FFFFFF" w:val="clear"/>
            <w:tcMar>
              <w:bottom w:w="28" w:type="dxa"/>
            </w:tcMar>
            <w:vAlign w:val="center"/>
          </w:tcPr>
          <w:p>
            <w:pPr>
              <w:pStyle w:val="TableContents"/>
              <w:bidi w:val="0"/>
              <w:spacing w:before="0" w:after="283"/>
              <w:jc w:val="right"/>
              <w:rPr/>
            </w:pPr>
            <w:r>
              <w:rPr/>
              <w:t>5,862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5,862</w:t>
            </w:r>
          </w:p>
        </w:tc>
        <w:tc>
          <w:tcPr>
            <w:tcW w:w="75"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22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4" w:type="dxa"/>
            <w:tcBorders>
              <w:bottom w:val="double" w:sz="10" w:space="0" w:color="000000"/>
            </w:tcBorders>
            <w:shd w:fill="CCEEFF" w:val="clear"/>
            <w:tcMar>
              <w:bottom w:w="28" w:type="dxa"/>
            </w:tcMar>
            <w:vAlign w:val="center"/>
          </w:tcPr>
          <w:p>
            <w:pPr>
              <w:pStyle w:val="TableContents"/>
              <w:bidi w:val="0"/>
              <w:spacing w:before="0" w:after="283"/>
              <w:jc w:val="right"/>
              <w:rPr/>
            </w:pPr>
            <w:r>
              <w:rPr/>
              <w:t>12,398</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2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10" w:type="dxa"/>
            <w:tcBorders>
              <w:bottom w:val="double" w:sz="10" w:space="0" w:color="000000"/>
            </w:tcBorders>
            <w:shd w:fill="CCEEFF" w:val="clear"/>
            <w:tcMar>
              <w:bottom w:w="28" w:type="dxa"/>
            </w:tcMar>
            <w:vAlign w:val="center"/>
          </w:tcPr>
          <w:p>
            <w:pPr>
              <w:pStyle w:val="TableContents"/>
              <w:bidi w:val="0"/>
              <w:spacing w:before="0" w:after="283"/>
              <w:jc w:val="right"/>
              <w:rPr/>
            </w:pPr>
            <w:r>
              <w:rPr/>
              <w:t>126,833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5" w:type="dxa"/>
            <w:tcBorders>
              <w:bottom w:val="double" w:sz="10" w:space="0" w:color="000000"/>
            </w:tcBorders>
            <w:shd w:fill="CCEEFF" w:val="clear"/>
            <w:tcMar>
              <w:bottom w:w="28" w:type="dxa"/>
            </w:tcMar>
            <w:vAlign w:val="center"/>
          </w:tcPr>
          <w:p>
            <w:pPr>
              <w:pStyle w:val="TableContents"/>
              <w:bidi w:val="0"/>
              <w:spacing w:before="0" w:after="283"/>
              <w:jc w:val="right"/>
              <w:rPr/>
            </w:pPr>
            <w:r>
              <w:rPr/>
              <w:t>24,612</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pPr>
            <w:r>
              <w:rPr/>
              <w:t>479,331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Company had total deferred revenue of $1,984,370  and $1,984,550, respectively. Substantially all of the deferred revenue as of June 30, 2026 is expected to be recognized as revenue within the following twelve months.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chief operating decision-makers (the “CODM”), which are the Company’s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goods sold, can be easily computed from the information provided. This segment’s measures of profitability are shown in the condensed consolidated statements of operations. The measure of segment assets is reported on the condensed consolidated balance sheets as total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20 –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and six months ended June 30, 2026 and 2025, the Company recorded no income tax expense or benefit due to pre-tax book losses. The Company’s effective tax rate was 0% for both periods, primarily as a result of such losses and the corresponding recognition of deferred tax assets, which are fully offset by a valuation allowance. Based on the weight of available evidence, including the Company’s history of cumulative operating losses, management has concluded that it is more likely than not that its deferred tax assets will not be realized. Accordingly, the Company has recorded a full valuation allowance against its deferred tax assets as of June 30, 2026 and December 31, 2025, resulting in a net deferred tax asset balance of $0.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income taxes in the United States, as well as various state jurisdictions and Puerto Rico. The Company has not been audited by the Internal Revenue Service, Puerto Rican tax authorities, or any state taxing authorities with respect to income taxes. Tax years beginning with 2021 remain open to examination by federal, state, and Puerto Rico tax authorities. Net operating loss and tax credit carryforwards may be subject to adjustment upon examination in the year of utilization.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uncertain tax positions in accordance with ASC 740. The Company recognizes the tax benefit from an uncertain tax position only if it is more likely than not that the position will be sustained upon examination by taxing authorities based on its technical merits. As of June 30, 2026, the Company has determined that no uncertain tax positions exist. Accordingly, no liability for unrecognized tax benefits has been recorded, and no interest or penalties have been accrued. The Company recognizes interest and penalties, if any, related to unrecognized tax benefits as a component of income tax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did not make any federal, state, or foreign income tax payments during the three and six months ended June 30, 2026 and 2025. Accordingly, income taxes paid were $0 for all jurisdictions for both periods. Consistent with the Company’s adoption of ASU 2023-09, no disaggregated income taxes paid information is presented as such amounts are immaterial.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legislation commonly referred to as the One Big Beautiful Bill Act (“OBBBA”) was enacted, which modifies certain provisions of U.S. federal tax law, including rules related to research and development expensing, interest limitation deductions, and international taxation. The Company has evaluated the provisions of the legislation and determined that the impact is not expected to be material to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21 -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22, 2026, the Company entered into a Securities Purchase Agreement under which investors agreed to invest $6 million through the purchase of 400,000 shares of the Company’s Series AA Convertible Non - Redeemable Preferred Stock, par value $0.0001 per share (“Series AA Preferred Stock”) for an aggregate purchase price of $2 million (the “Series AA Purchase Price”), and 800,000 shares of the Company’s Series B Convertible Preferred Stock, par value $0.0001 per share (“Series B Preferred Stock”) for an aggregate purchase price of $4 million (the “Series B Purchase Price”). The transaction creates new preferred stock classes with significant conversion, liquidation, dividend, anti-dilution, and board-designation rights, including the potential for investors to designate a majority of the Board under certain circumstances. The $4 million Series B investment will initially be held in a restricted account and released only after specified conditions, including SEC registration, stockholder approval, and certain stock-price and trading-volume requirements. The agreement also restricts the Company from taking certain financing, debt, corporate-governance, and other actions without investor consent and requires stockholder approval for the issuance of conversion shares and other matters. The Company will enter into registration-rights, voting, and employment agreements, appoint Joseph Risico as a director and Ryan Daiss as President following the Series AA closing, and establish a performance-based equity program for Mr. Daiss. The transaction is also intended to help the Company address Nasdaq listing-compliance deficiencies, while a special committee will evaluate a potential sale of certain operating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the lead investor  delivered a notice of termination (the “Termination Notice”) to the Company terminated the Securities Purchase Agreement entered into on July 22, 2026, under which investors had agreed to purchase the Company’s Series AA and Series B Convertible Preferred Stock. The investor claimed that the Company failed to satisfy certain closing conditions and breached representations and warranties. As a result, the planned financing transactions and related agreements will not proceed unless the parties reach another agreement. The Company disputes the investor’s allegations, and the Company believes it was ready and able to complete the transaction; the Company is evaluating its legal rights and remedies and is also exploring options for its creditors.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6, 2026, the Company received a Nasdaq Staff Determination stating that its common stock would be subject to delisting because the Company failed to regain compliance with Nasdaq’s $50 million minimum market value of listed securities (“MVLS”) requirement by the August 4, 2026 deadline. The Company had previously also been deficient with respect to Nasdaq’s $1.00 minimum bid price requirement and $15 million minimum market value of publicly held shares (“MVPHS”) requirement. The Company regained compliance with the minimum bid price requirement in June 2026, while the MVPHS deficiency remained outstanding. Following receipt of the August 6, 2026 Staff Determination, the Company timely requested a hearing before the Nasdaq Hearings Panel and paid the required $20,000 hearing fee. The hearing request stays the suspension of trading and delisting of the Company’s common stock pending the Hearings Panel’s decision, and the Company’s common stock remains listed on Nasdaq while the appeal is pending. There can be no assurance that the Hearings Panel will determine to continue the listing of the Company’s common stock or that the Company will be able to regain compliance with the applicable Nasdaq listing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10, 2026, the Company received an additional Nasdaq delisting determination after it failed to regain compliance with the $15 million MVPHS requirement by the August 10, 2026 deadline, in addition to its previously reported failure to satisfy the $50 million MVLS requirement. The Company’s appeal before the Nasdaq Hearings Panel encompasses both the MVLS and MVPHS deficiencies, and the Company’s common stock remains listed on Nasdaq pending the outcome of the appeal. On August 12, 2026, the Company received a Notice of Default and Demand to Assemble Collateral (the “Default Notice”) from counsel to LHT I. According to the Default Notice, the amount due under the Loan Agreement was $1,057,417.37, inclusive of attorneys’ fees and costs. LHT I LLC demanded that the Company surrender the collateral securing the Loan Agreement and indicated that it may pursue foreclosure. The Company expects that any such foreclosure could result in the transfer of a material portion of the Company’s operations and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received a written notification (the “Additional Staff Determination”) from the Listing Qualifications Department of The Nasdaq Stock Market LLC (“Nasdaq”) identifying an additional basis for the potential delisting of the Company’s common stock, par value $0.0001 per share (the “Common Stock”), from Nasdaq. As set forth in the Additional Staff Determination, the Company has not yet filed its Quarterly Report on Form 10-Q for the period ended June 30, 2026 (the “Delinquent Filing”), and therefore no longer complies with Nasdaq’s Listing Rules for continued listing. Accordingly, Nasdaq determined that this matter serves as an additional basis for delisting the Company’s securities from The Nasdaq Stock Market.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10, 2026, the Company issued a $550,000 unsecured convertible promissory note (the “H Capital Note”) to H Capital Ventures Management Consultancies Co. LLC, with H Capital providing $500,000 in cash, reflecting a 10% original issue discount. The note bears 8% annual interest, with the first six months of interest accruing immediately, and matures six months after issuance. H Capital may convert the note into Common Stock of the Company, par value $0.0001 at any time, from time to time. The Conversion Price is equal to the lower of $1.50 per share of Common Stock and 90% of the applicable ten Trading Day volume-weighted average price of the Common Stock (the “VWAP”), subject to a $0.50 floor, (the “Floor Price”).  The note includes beneficial ownership and conversion limitations, customary events of default, and a provision reducing the conversion price to $0.01 per share upon an event of default. The Company may prepay the note at any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14, 2026, the Company entered into a legally binding and enforceable Binding Summary of Principal Terms (the “Term Sheet”) with BladeRanger Ltd. and Envoy Technologies, Inc. to acquire 100% of Envoy’s outstanding common stock. BladeRanger holds 100% of Envoy’s outstanding capital stock. Blink Charging Co. holds $12.5 million convertible notes in Envoy that will convert  into 20% of Envoy’s equity prior to closing.   At Closing, the Company will issue shares equal to an aggregate of 10,833,333 shares of Common Stock. The consideration issued at Closing includes 233,543 shares Common Stock to BladeRanger and shares of newly authorized Series C Convertible Preferred Stock, of which 2,166,667 shares will be issued to Blink Charging Co. and 8,433,123 shares will be issued to BladeRanger. The Series C Preferred will have a $6.00 stated value per share and generally will convert one-for-one basis into Common Stock automatically upon stockholder approval, subject to a 19.99% conversion limitation. The Closing of the Acquisition is targeted for October 6, 2026, with definitive agreements expected by September 25, 2026, subject to customary closing conditions and required Israeli and Tel Aviv Stock Exchange approvals.  Stockholder approval will be required under applicable Nasdaq rules, for certain share issuances and the change of control, although such approval is not a condition to Closing and is targeted for January 2027. Following closing, BladeRanger will have the right to designate one director and one executive management member, while the Company will assume approximately $700,000 of certain Envoy vehicle lease obligations. BladeRanger’s shares will be subject to a six-month lock-up and Blink’s shares to a 12-month lock-up.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15, 2026, the Company, See ID, Inc., ShoulderUp Technology Acquisition Corp., and Dot Works, Inc. (collectively, the “Debtors”) entered into a Settlement Agreement with LHT I, LLC (the “Lender”) to resolve the defaults and all outstanding obligations owed to the Lender under the Loan Agreement dated December 4, 2025, which had been assigned to the Lender, and the $500,000 Junior Secured Convertible Promissory Note dated June 23, 2026 (the “Phillips Note”), which was originally issued to Phillips Equities &amp; Trust, LLC, an affiliate of the Lender, and subsequently assigned to LHT I, LLC. Pursuant to the Settlement Agreement, LHT I, LLC will convert $924,616 of outstanding principal, together with $132,169.41 of accrued and unpaid interest and $30,000 of attorneys’ fees and costs, totaling $1,086,785, into 2,815,506 shares of Common Stock at a conversion price of $0.386 per share. In addition, See ID, Inc. and Dot Works, Inc. will transfer certain assets to the Lender in full and complete satisfaction and discharge of all obligations under the $500,000 Phillips Note. Upon issuance of the conversion shares and completion of the asset transfer, all remaining obligations of the Debtors under the Loan Agreement and the Phillips Note will be fully satisfied and canceled, all related liens and security interests will be released, and the Lender will release the Debtors from claims arising under the Loan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Also on September 15, 2026, the Company appeared before a Nasdaq Hearings Panel and presented a compliance plan addressing its previously disclosed deficiencies with respect to Nasdaq’s $50 million minimum Market Value of Listed Securities requirement, the $15 million minimum market value of publicly held shares requirement, and the Company’s delinquent Quarterly Report on Form 10-Q for the period ended June 30, 2026. The Company’s Common Stock remains listed on Nasdaq under the symbol “DAIC” pending the outcome of the hearing and issuance of the Hearings Panel’s written decision. There can be no assurance that the Hearings Panel will grant the Company’s request for continued listing or that the Company will regain compliance with Nasdaq’s continued listing requirements within any period that may be granted by the Hearings Panel.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June 30, 2026, White Lion Capital exercised approximately $200,000 of warrants, resulting in the issuance of an aggregate of 371,725 shares of the Company’s Common Stock at various exercise prices.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read the following discussion and analysis of our financial condition and results of operations together with our condensed consolidated financial statements and related notes included in this filing. Some of the information contained in this discussion and analysis, including information regarding our plans and strategy for our business, includes forward-looking statements that involve risks and uncertainties. When reviewing the discussion below, you should carefully consider the substantial risks and uncertainties that could impact our business, results of operations, and financial condition. In particular, we encourage you to review the risks and uncertainties described under “Risks Relating to Our Business and Industry” in our Annual Report on Form 10-K filed with the SEC on March 11, 2026, as well as other risk factors disclosed elsewhere in that filing and in this Quarterly Report. These risks and uncertainties could cause actual results to differ materially from those projected in forward-looking statements contained in this Form 10-Q or implied by past results and trends. Forward-looking statements are statements that attempt to forecast or anticipate future developments in our business, financial condition, or results of operations. These statements speak only as of their respective dates (unless otherwise indicated), and we undertake no obligation to update or revise them in light of future developments, except as required by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Overview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real-time tracking of resources. Through the Company’s extensive research and development initiatives, the Company’s main focus includes areas such as Industrial IoT, Indoor and Outdoor tracking with seamless transitions, Passive RFID (including Bluetooth and 5G), Collision Avoidance, real-time locating system, Dolly Management, and related supported software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headquartered in Las Vegas, NV with our management and administrative staff located in Bethesda, MD for East Coast customer engagements and government lobbying activity. We also manufacture hardware in Puerto Rico through our wholly owned subsidiary Dot Works. Our development team and Design for Manufacturing (“DFM”) capability is built around our Chief Technology Officer (“CTO”) in Worcester, MA and our core software team is in Bangalore, India. However, as part of measures implemented to preserve liquidity while the Company evaluated financing opportunities, effective May 25, 2026, the Company implemented a temporary furlough of its employees and suspended its manufacturing operations. Accordingly, as of June 30, 2026, the Company was not conducting active manufacturing operations. During the furlough period, the Company continued to maintain its executive team, whose members agreed to salary deferrals and reductions, as applicable, together with a limited number of independent contractors primarily based in India to service existing customers and support core initiatives. The Company intends to resume operations and recall employees as liquidity and operational circumstances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Quarterly Report, unless otherwise noted or otherwise suggested by context, the “Company”, “we”, “us”, “our” refers to SEE ID and Dot Works, as applicable, prior to the consummation of the Business Combination (as defined below), and CID Holdco, SEE ID, and Dot Works, collectively, after the consummation of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29, 2026, the Company effected a 1-for-25 reverse stock split of its common stock, as previously approved by the Company’s stockholders and Board of Directors. The Company’s common stock began trading on a split-adjusted basis on Nasdaq on June 1, 2026. The Reverse Stock Split reduced the Company’s outstanding common shares from approximately 30.26 million shares to approximately 1.21 million shares and did not change the par value or authorized number of shares. All share and per-share amounts presented in the condensed consolidated financial statements and related disclosures have been retrospectively adjusted, where applicable, to reflect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“Closing Date”) the Company consummated the Business Combination transactions by and among the Company, ShoulderUp Technology Acquisition Corp (“SUAC” or “ShoulderUp”),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and (ii) simultaneously with the ShoulderUp Merger, SEI Merger Sub merged with and into SEE ID (“the SEE ID Merger”), with SEE ID surviving the SEE ID Merger as a wholly-owned subsidiary of the Company (the ShoulderUp Merger and the SEE ID Merger, together the “Mergers” and together with the other transactions contemplated by the Business Combination Agreement,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CID Holdco filed a registration statement on Form S-4 (File No. 333-282600) (as amended, the “Registration Statement”) with the U.S. Securities and Exchange Commission (the “SEC”). On June 18, 2025, the Registration Statement was declared effective by the SEC. At Closing, the assets and liabilities of Legacy Company were combined with the assets and liabilities ShoulderUp Technology Acquisition Corp on a historical cost basis. All Legacy Company Common Stock was exchanged for Common Stock of the Company based upon the exchange ratio as defined in the Business Combination Agreement as Aggregate Merger Consideration (13,000,000 CID Holdco shares, equivalent to 520,000 shares after giving effect to the Company’s 1-for-25 reverse stock split.) divided by the Company’s Fully Diluted Common Stock (159,915,641, equivalent to approximately 6,396,626 shares after giving effect to the reverse stock split). Stock options of Legacy Company were not exercised and remain outstanding after giving effect to the exchange ratio. In connection with the Business Combination, we incurred transaction costs, settled certain SUAC related party notes through the issuance of common shares, converted SAFE notes into Common Stock of the Company, and raised cash proceeds from PIPE investors. Additional information regarding the Business Combination and Reverse Recapitalization is provided in Note 4 to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Our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Acquiring New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have a substantial opportunity to grow our customer base. We intend to drive new customer acquisition by continuing to invest significantly in sales and marketing to engage our prospective customers, increase brand awareness, and drive adoption of our Dot Cloud platform. Our ability to attract new customers depends on a number of factors, including the effectiveness of our sales and marketing efforts, macroeconomic factors and their impact on our customers’ businesses, and the success of our efforts to expand internationally.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Expanding Within Our Existing Customer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is a significant opportunity to expand sales to existing customers following their initial adoption of our Dot Cloud. We will expand our customer base by selling more applications and expanding use of existing applications across geographies and divisions. Our ability to expand within our customer base will depend on a number of factors, including our customers’ satisfaction, pricing, competition, macroeconomic factors, and changes in our customers’ spending levels. While there are many factors involved in this expansion, the Customer Success department will be the key internal driver to retention and expansion of customer revenue. At this juncture, it is not a significant part of our operational expense but will be built out as our bookings increase and our channel support requirements come online.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 Innovation and Future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 leadership is supported by continuous innovation in our Dot Cloud, our inventions in IoT data collection and our advances in applying AI to our customer problem sets. We will continuously invest in adding new applications and methods to our solutions. As such, spending on research and development will always be an important part of our strategy, however, the driving force that will fuel our company is market growth. Our recent pivot to move most of our spending to Sales and Marketing shows a commitment to our go-to-market strategy. We recognize the need to increase adoption and expand brand awareness as we increase market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Adding additional compliance and oversight resources as we grow, and especially as we adapt to operating as a public entity, is a natural and essential step. In addition, our small operations team will continue to grow as the demand increases from our maturing sales pipeline.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access to our Dot Cloud through subscription arrangements, where the customer is charged a per-subscription fee for access for a specified term. Subscription agreements will contain multiple service elements for one or more of our cloud-based Applications via mobile app(s) or a website that enables data collection and provides access to the cellular network, IoT devices (which we also refer to as connected devices), and support services delivered over the term of the arrangement. Our subscription contracts will typically have an initial term of three to five years and are generally non-cancellable and non-refundable, subject to limited exceptions under our standard terms of service and other exceptions for public sector customers, who are often subject to annual budget appropriations cycles. Our Connected Dot Cloud and IoT devices are highly integrated with the subscription service and together will represent a single performance obligation. Revenues attributable to this combined performance obligation are recognized over time as the services are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provide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Allocation of Overhead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Overhead costs that are not directly attributable to a specific functional group are allocated based on relative usage. These costs include expenses related to warehouse lease and cloud hosting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consists primarily of cellular-related costs, third-party cloud infrastructure expenses, customer support costs, warranty charges, employee-related costs directly associated with our customer support and operations, including salaries, employee benefits and share-based compensation, amortization of internal-use software development, certain cloud computing implementation costs, expenses related to shipping and handling, packaging, fulfillment, warehousing, write-downs of excess and obsolete inventory, and allocated overhead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customers expand and increase the use of our Dot Cloud driven by additional IoT devices and Applications, our cost of goods sold may vary from quarter to quarter as a percentage of our revenue due to the timing and extent of these expenses. We intend to continue to invest additional resources in our Dot Cloud and customer support and operations personnel as we grow our business. The level and timing of investment in these areas will affect our cost of goods sold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employee-related costs, including salaries, employee benefits and share-based compensation, depreciation and other expenses related to prototyping IoT devices, product initiatives, software subscriptions, hosting used in research and development, and allocated overhead costs. We continue to focus our research and development efforts on adding new features and products and enhancing the utility of our Dot Cloud. We capitalize the portion of our internal-use software development costs that meets the criteria for capitalization. We expect our research and development expenses to generally increase in absolute dollars for the foreseeable future as we continue to invest in research and development efforts to enhance our Dot Cloud. Our research and development expenses may fluctuate as a percentage of our revenue from period to period due to the timing and extent of these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consist primarily of employee-related costs directly associated with our sales and marketing activities, including salaries, employee benefits and share-based compensation, and sales commissions. Sales and marketing expenses also include expenditures related to advertising, media, marketing, promotional costs, free trial expenses, brand awareness activities, business development, corporate partnerships, travel, conferences and events, professional services, and allocated overhead costs. We also have a heavy reliance on contracted services in these areas which are reflected in the department spend. We plan to continue to invest in sales and marketing to grow our customer base and increase our brand awareness. As a result, we expect our sales and marketing expenses to increase in absolute dollars for the foreseeable future. Our sales and marketing expenses may fluctuate as a percentage of our revenue from period to period due to the timing and extent of these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of employee-related costs for executive, finance, legal, human resources, facilities, and certain IT personnel, including salaries, employee benefits and share-based compensation, professional fees for external legal, accounting, recruiting and other consulting services, credit losses, allocated overhead costs, and unallocated lease costs. We expect our general and administrative expenses to continue to increase in absolute dollars for the foreseeable future to support our growth as well as additional costs associated with legal, accounting, compliance, insurance, investor relations, and other areas associated with being a public company. Our general and administrative expenses may fluctuate as a percentage of our revenue from period to period due to the timing and extent of these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primarily of interest incurred for our short-term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SAFE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the fair value of SAFE agreements represents the unrealized gains or losses resulting from the fluctuations in the estimated fair value of the outstanding SAFE agreements, or reevaluation of updated market conditions and company-specific factors. A SAFE agreements were converted to common shares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Cost of Goods Sold, Gross Profit, and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revenue, cost of goods sold, gross profit, and gross margin for the three and six months ended June 30, 2026 and 2025 are summarized as follows:</w:t>
      </w:r>
    </w:p>
    <w:p>
      <w:pPr>
        <w:pStyle w:val="TextBody"/>
        <w:bidi w:val="0"/>
        <w:spacing w:before="0" w:after="0"/>
        <w:ind w:left="0" w:right="0" w:hanging="0"/>
        <w:jc w:val="left"/>
        <w:rPr>
          <w:caps w:val="false"/>
          <w:smallCaps w:val="false"/>
        </w:rPr>
      </w:pPr>
      <w:r>
        <w:rPr>
          <w:caps w:val="false"/>
          <w:smallCaps w:val="false"/>
        </w:rPr>
        <w:t> </w:t>
      </w:r>
    </w:p>
    <w:tbl>
      <w:tblPr>
        <w:tblW w:w="7808" w:type="dxa"/>
        <w:jc w:val="left"/>
        <w:tblInd w:w="0" w:type="dxa"/>
        <w:tblLayout w:type="fixed"/>
        <w:tblCellMar>
          <w:top w:w="0" w:type="dxa"/>
          <w:left w:w="0" w:type="dxa"/>
          <w:bottom w:w="0" w:type="dxa"/>
          <w:right w:w="0" w:type="dxa"/>
        </w:tblCellMar>
      </w:tblPr>
      <w:tblGrid>
        <w:gridCol w:w="1805"/>
        <w:gridCol w:w="60"/>
        <w:gridCol w:w="207"/>
        <w:gridCol w:w="1009"/>
        <w:gridCol w:w="319"/>
        <w:gridCol w:w="89"/>
        <w:gridCol w:w="207"/>
        <w:gridCol w:w="1187"/>
        <w:gridCol w:w="215"/>
        <w:gridCol w:w="60"/>
        <w:gridCol w:w="140"/>
        <w:gridCol w:w="875"/>
        <w:gridCol w:w="95"/>
        <w:gridCol w:w="60"/>
        <w:gridCol w:w="122"/>
        <w:gridCol w:w="1053"/>
        <w:gridCol w:w="305"/>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31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12,398</w:t>
            </w:r>
          </w:p>
        </w:tc>
        <w:tc>
          <w:tcPr>
            <w:tcW w:w="3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126,833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(114,435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(90.2</w:t>
            </w:r>
          </w:p>
        </w:tc>
        <w:tc>
          <w:tcPr>
            <w:tcW w:w="305"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pPr>
            <w:r>
              <w:rPr/>
              <w:t>6,638</w:t>
            </w:r>
          </w:p>
        </w:tc>
        <w:tc>
          <w:tcPr>
            <w:tcW w:w="3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67,194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(60,556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3" w:type="dxa"/>
            <w:tcBorders>
              <w:bottom w:val="single" w:sz="12" w:space="0" w:color="000000"/>
            </w:tcBorders>
            <w:shd w:fill="FFFFFF" w:val="clear"/>
            <w:tcMar>
              <w:bottom w:w="28" w:type="dxa"/>
            </w:tcMar>
            <w:vAlign w:val="center"/>
          </w:tcPr>
          <w:p>
            <w:pPr>
              <w:pStyle w:val="TableContents"/>
              <w:bidi w:val="0"/>
              <w:spacing w:before="0" w:after="283"/>
              <w:jc w:val="right"/>
              <w:rPr/>
            </w:pPr>
            <w:r>
              <w:rPr/>
              <w:t>(90.1</w:t>
            </w:r>
          </w:p>
        </w:tc>
        <w:tc>
          <w:tcPr>
            <w:tcW w:w="305"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pPr>
            <w:r>
              <w:rPr/>
              <w:t>5,760</w:t>
            </w:r>
          </w:p>
        </w:tc>
        <w:tc>
          <w:tcPr>
            <w:tcW w:w="3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59,639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(53,879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12" w:space="0" w:color="000000"/>
            </w:tcBorders>
            <w:shd w:fill="CCEEFF" w:val="clear"/>
            <w:tcMar>
              <w:bottom w:w="28" w:type="dxa"/>
            </w:tcMar>
            <w:vAlign w:val="center"/>
          </w:tcPr>
          <w:p>
            <w:pPr>
              <w:pStyle w:val="TableContents"/>
              <w:bidi w:val="0"/>
              <w:spacing w:before="0" w:after="283"/>
              <w:jc w:val="right"/>
              <w:rPr/>
            </w:pPr>
            <w:r>
              <w:rPr/>
              <w:t>(90.3</w:t>
            </w:r>
          </w:p>
        </w:tc>
        <w:tc>
          <w:tcPr>
            <w:tcW w:w="305"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Gross margin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pPr>
            <w:r>
              <w:rPr/>
              <w:t>46.5</w:t>
            </w:r>
          </w:p>
        </w:tc>
        <w:tc>
          <w:tcPr>
            <w:tcW w:w="319"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47.0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566" w:type="dxa"/>
        <w:jc w:val="left"/>
        <w:tblInd w:w="0" w:type="dxa"/>
        <w:tblLayout w:type="fixed"/>
        <w:tblCellMar>
          <w:top w:w="0" w:type="dxa"/>
          <w:left w:w="0" w:type="dxa"/>
          <w:bottom w:w="0" w:type="dxa"/>
          <w:right w:w="0" w:type="dxa"/>
        </w:tblCellMar>
      </w:tblPr>
      <w:tblGrid>
        <w:gridCol w:w="1805"/>
        <w:gridCol w:w="60"/>
        <w:gridCol w:w="191"/>
        <w:gridCol w:w="928"/>
        <w:gridCol w:w="293"/>
        <w:gridCol w:w="81"/>
        <w:gridCol w:w="191"/>
        <w:gridCol w:w="1092"/>
        <w:gridCol w:w="215"/>
        <w:gridCol w:w="60"/>
        <w:gridCol w:w="140"/>
        <w:gridCol w:w="875"/>
        <w:gridCol w:w="95"/>
        <w:gridCol w:w="60"/>
        <w:gridCol w:w="122"/>
        <w:gridCol w:w="1053"/>
        <w:gridCol w:w="305"/>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93"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24,612</w:t>
            </w:r>
          </w:p>
        </w:tc>
        <w:tc>
          <w:tcPr>
            <w:tcW w:w="29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092" w:type="dxa"/>
            <w:tcBorders/>
            <w:shd w:fill="CCEEFF" w:val="clear"/>
            <w:vAlign w:val="center"/>
          </w:tcPr>
          <w:p>
            <w:pPr>
              <w:pStyle w:val="TableContents"/>
              <w:bidi w:val="0"/>
              <w:spacing w:before="0" w:after="283"/>
              <w:jc w:val="right"/>
              <w:rPr/>
            </w:pPr>
            <w:r>
              <w:rPr/>
              <w:t>479,331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(454,719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(94.9</w:t>
            </w:r>
          </w:p>
        </w:tc>
        <w:tc>
          <w:tcPr>
            <w:tcW w:w="305"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8" w:type="dxa"/>
            <w:tcBorders>
              <w:bottom w:val="single" w:sz="12" w:space="0" w:color="000000"/>
            </w:tcBorders>
            <w:shd w:fill="FFFFFF" w:val="clear"/>
            <w:tcMar>
              <w:bottom w:w="28" w:type="dxa"/>
            </w:tcMar>
            <w:vAlign w:val="center"/>
          </w:tcPr>
          <w:p>
            <w:pPr>
              <w:pStyle w:val="TableContents"/>
              <w:bidi w:val="0"/>
              <w:spacing w:before="0" w:after="283"/>
              <w:jc w:val="right"/>
              <w:rPr/>
            </w:pPr>
            <w:r>
              <w:rPr/>
              <w:t>9,304</w:t>
            </w:r>
          </w:p>
        </w:tc>
        <w:tc>
          <w:tcPr>
            <w:tcW w:w="29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FFFFFF" w:val="clear"/>
            <w:tcMar>
              <w:bottom w:w="28" w:type="dxa"/>
            </w:tcMar>
            <w:vAlign w:val="center"/>
          </w:tcPr>
          <w:p>
            <w:pPr>
              <w:pStyle w:val="TableContents"/>
              <w:bidi w:val="0"/>
              <w:spacing w:before="0" w:after="283"/>
              <w:jc w:val="right"/>
              <w:rPr/>
            </w:pPr>
            <w:r>
              <w:rPr/>
              <w:t>84,272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(74,968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3" w:type="dxa"/>
            <w:tcBorders>
              <w:bottom w:val="single" w:sz="12" w:space="0" w:color="000000"/>
            </w:tcBorders>
            <w:shd w:fill="FFFFFF" w:val="clear"/>
            <w:tcMar>
              <w:bottom w:w="28" w:type="dxa"/>
            </w:tcMar>
            <w:vAlign w:val="center"/>
          </w:tcPr>
          <w:p>
            <w:pPr>
              <w:pStyle w:val="TableContents"/>
              <w:bidi w:val="0"/>
              <w:spacing w:before="0" w:after="283"/>
              <w:jc w:val="right"/>
              <w:rPr/>
            </w:pPr>
            <w:r>
              <w:rPr/>
              <w:t>(89.0</w:t>
            </w:r>
          </w:p>
        </w:tc>
        <w:tc>
          <w:tcPr>
            <w:tcW w:w="305"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28" w:type="dxa"/>
            <w:tcBorders>
              <w:bottom w:val="single" w:sz="12" w:space="0" w:color="000000"/>
            </w:tcBorders>
            <w:shd w:fill="CCEEFF" w:val="clear"/>
            <w:tcMar>
              <w:bottom w:w="28" w:type="dxa"/>
            </w:tcMar>
            <w:vAlign w:val="center"/>
          </w:tcPr>
          <w:p>
            <w:pPr>
              <w:pStyle w:val="TableContents"/>
              <w:bidi w:val="0"/>
              <w:spacing w:before="0" w:after="283"/>
              <w:jc w:val="right"/>
              <w:rPr/>
            </w:pPr>
            <w:r>
              <w:rPr/>
              <w:t>15,308</w:t>
            </w:r>
          </w:p>
        </w:tc>
        <w:tc>
          <w:tcPr>
            <w:tcW w:w="29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92" w:type="dxa"/>
            <w:tcBorders>
              <w:bottom w:val="single" w:sz="12" w:space="0" w:color="000000"/>
            </w:tcBorders>
            <w:shd w:fill="CCEEFF" w:val="clear"/>
            <w:tcMar>
              <w:bottom w:w="28" w:type="dxa"/>
            </w:tcMar>
            <w:vAlign w:val="center"/>
          </w:tcPr>
          <w:p>
            <w:pPr>
              <w:pStyle w:val="TableContents"/>
              <w:bidi w:val="0"/>
              <w:spacing w:before="0" w:after="283"/>
              <w:jc w:val="right"/>
              <w:rPr/>
            </w:pPr>
            <w:r>
              <w:rPr/>
              <w:t>395,059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(379,751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12" w:space="0" w:color="000000"/>
            </w:tcBorders>
            <w:shd w:fill="CCEEFF" w:val="clear"/>
            <w:tcMar>
              <w:bottom w:w="28" w:type="dxa"/>
            </w:tcMar>
            <w:vAlign w:val="center"/>
          </w:tcPr>
          <w:p>
            <w:pPr>
              <w:pStyle w:val="TableContents"/>
              <w:bidi w:val="0"/>
              <w:spacing w:before="0" w:after="283"/>
              <w:jc w:val="right"/>
              <w:rPr/>
            </w:pPr>
            <w:r>
              <w:rPr/>
              <w:t>(96.1</w:t>
            </w:r>
          </w:p>
        </w:tc>
        <w:tc>
          <w:tcPr>
            <w:tcW w:w="305"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Gross margin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8" w:type="dxa"/>
            <w:tcBorders>
              <w:bottom w:val="single" w:sz="12" w:space="0" w:color="000000"/>
            </w:tcBorders>
            <w:shd w:fill="FFFFFF" w:val="clear"/>
            <w:tcMar>
              <w:bottom w:w="28" w:type="dxa"/>
            </w:tcMar>
            <w:vAlign w:val="center"/>
          </w:tcPr>
          <w:p>
            <w:pPr>
              <w:pStyle w:val="TableContents"/>
              <w:bidi w:val="0"/>
              <w:spacing w:before="0" w:after="283"/>
              <w:jc w:val="right"/>
              <w:rPr/>
            </w:pPr>
            <w:r>
              <w:rPr/>
              <w:t>62.2</w:t>
            </w:r>
          </w:p>
        </w:tc>
        <w:tc>
          <w:tcPr>
            <w:tcW w:w="293"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FFFFFF" w:val="clear"/>
            <w:tcMar>
              <w:bottom w:w="28" w:type="dxa"/>
            </w:tcMar>
            <w:vAlign w:val="center"/>
          </w:tcPr>
          <w:p>
            <w:pPr>
              <w:pStyle w:val="TableContents"/>
              <w:bidi w:val="0"/>
              <w:spacing w:before="0" w:after="283"/>
              <w:jc w:val="right"/>
              <w:rPr/>
            </w:pPr>
            <w:r>
              <w:rPr/>
              <w:t>82.4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decreased by $114,435, or 90.2%, and $454,719, or 94.9%, for the three and six months ended June 30, 2026, respectively, compared to the corresponding periods in 2025. Revenue for the three and six months ended June 30, 2026 was primarily comprised of SaaS subscription revenue generated from the Company’s internally developed software platform, while revenue for the corresponding periods in 2025 was primarily derived from the sale and delivery of hardware products, including bridges, labels and gateways, as well as feasibility studies provided to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decreased by $60,556, or 90.1%, and $74,968, or 89.0%, for the three and six months ended June 30, 2026, respectively, compared to the corresponding periods in 2025. The decreases were primarily attributable to the lower level of revenue and the related reduction in costs associated with the products and services provided during the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$53,879, or 90.3%, and $379,751, or 96.1%, for the three and six months ended June 30, 2026, respectively, compared to the corresponding periods in 2025. Gross margin was 46.5% and 62.2% for the three and six months ended June 30, 2026, respectively, compared to 47.0% and 82.4% for the corresponding periods in 2025. The decreases in gross margin were primarily attributable to changes in the mix of revenue and related costs between the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three and six months ended June 30, 2026 and 2025 are summarized as follows:</w:t>
      </w:r>
    </w:p>
    <w:p>
      <w:pPr>
        <w:pStyle w:val="TextBody"/>
        <w:bidi w:val="0"/>
        <w:spacing w:before="0" w:after="0"/>
        <w:ind w:left="0" w:right="0" w:hanging="0"/>
        <w:jc w:val="left"/>
        <w:rPr>
          <w:caps w:val="false"/>
          <w:smallCaps w:val="false"/>
        </w:rPr>
      </w:pPr>
      <w:r>
        <w:rPr>
          <w:caps w:val="false"/>
          <w:smallCaps w:val="false"/>
        </w:rPr>
        <w:t> </w:t>
      </w:r>
    </w:p>
    <w:tbl>
      <w:tblPr>
        <w:tblW w:w="8519" w:type="dxa"/>
        <w:jc w:val="left"/>
        <w:tblInd w:w="0" w:type="dxa"/>
        <w:tblLayout w:type="fixed"/>
        <w:tblCellMar>
          <w:top w:w="0" w:type="dxa"/>
          <w:left w:w="0" w:type="dxa"/>
          <w:bottom w:w="0" w:type="dxa"/>
          <w:right w:w="0" w:type="dxa"/>
        </w:tblCellMar>
      </w:tblPr>
      <w:tblGrid>
        <w:gridCol w:w="2585"/>
        <w:gridCol w:w="60"/>
        <w:gridCol w:w="196"/>
        <w:gridCol w:w="1121"/>
        <w:gridCol w:w="301"/>
        <w:gridCol w:w="84"/>
        <w:gridCol w:w="196"/>
        <w:gridCol w:w="1121"/>
        <w:gridCol w:w="215"/>
        <w:gridCol w:w="60"/>
        <w:gridCol w:w="157"/>
        <w:gridCol w:w="898"/>
        <w:gridCol w:w="60"/>
        <w:gridCol w:w="60"/>
        <w:gridCol w:w="113"/>
        <w:gridCol w:w="1062"/>
        <w:gridCol w:w="23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301"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pPr>
            <w:r>
              <w:rPr/>
              <w:t>394,769</w:t>
            </w:r>
          </w:p>
        </w:tc>
        <w:tc>
          <w:tcPr>
            <w:tcW w:w="30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pPr>
            <w:r>
              <w:rPr/>
              <w:t>181,641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213,128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117.3</w:t>
            </w:r>
          </w:p>
        </w:tc>
        <w:tc>
          <w:tcPr>
            <w:tcW w:w="230"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left"/>
              <w:rPr/>
            </w:pPr>
            <w:r>
              <w:rPr/>
              <w:t>Percentage of revenue</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pPr>
            <w:r>
              <w:rPr/>
              <w:t>3,184.1</w:t>
            </w:r>
          </w:p>
        </w:tc>
        <w:tc>
          <w:tcPr>
            <w:tcW w:w="301"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pPr>
            <w:r>
              <w:rPr/>
              <w:t>143.2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276" w:type="dxa"/>
        <w:jc w:val="left"/>
        <w:tblInd w:w="0" w:type="dxa"/>
        <w:tblLayout w:type="fixed"/>
        <w:tblCellMar>
          <w:top w:w="0" w:type="dxa"/>
          <w:left w:w="0" w:type="dxa"/>
          <w:bottom w:w="0" w:type="dxa"/>
          <w:right w:w="0" w:type="dxa"/>
        </w:tblCellMar>
      </w:tblPr>
      <w:tblGrid>
        <w:gridCol w:w="2585"/>
        <w:gridCol w:w="60"/>
        <w:gridCol w:w="166"/>
        <w:gridCol w:w="1166"/>
        <w:gridCol w:w="255"/>
        <w:gridCol w:w="71"/>
        <w:gridCol w:w="166"/>
        <w:gridCol w:w="952"/>
        <w:gridCol w:w="215"/>
        <w:gridCol w:w="60"/>
        <w:gridCol w:w="157"/>
        <w:gridCol w:w="898"/>
        <w:gridCol w:w="60"/>
        <w:gridCol w:w="60"/>
        <w:gridCol w:w="141"/>
        <w:gridCol w:w="1034"/>
        <w:gridCol w:w="23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55"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1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1,006,074</w:t>
            </w:r>
          </w:p>
        </w:tc>
        <w:tc>
          <w:tcPr>
            <w:tcW w:w="25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52" w:type="dxa"/>
            <w:tcBorders>
              <w:bottom w:val="single" w:sz="12" w:space="0" w:color="000000"/>
            </w:tcBorders>
            <w:shd w:fill="CCEEFF" w:val="clear"/>
            <w:tcMar>
              <w:bottom w:w="28" w:type="dxa"/>
            </w:tcMar>
            <w:vAlign w:val="center"/>
          </w:tcPr>
          <w:p>
            <w:pPr>
              <w:pStyle w:val="TableContents"/>
              <w:bidi w:val="0"/>
              <w:spacing w:before="0" w:after="283"/>
              <w:jc w:val="right"/>
              <w:rPr/>
            </w:pPr>
            <w:r>
              <w:rPr/>
              <w:t>575,505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430,569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74.8</w:t>
            </w:r>
          </w:p>
        </w:tc>
        <w:tc>
          <w:tcPr>
            <w:tcW w:w="230"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left"/>
              <w:rPr/>
            </w:pPr>
            <w:r>
              <w:rPr/>
              <w:t>Percentage of revenue</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FFFFFF" w:val="clear"/>
            <w:tcMar>
              <w:bottom w:w="28" w:type="dxa"/>
            </w:tcMar>
            <w:vAlign w:val="center"/>
          </w:tcPr>
          <w:p>
            <w:pPr>
              <w:pStyle w:val="TableContents"/>
              <w:bidi w:val="0"/>
              <w:spacing w:before="0" w:after="283"/>
              <w:jc w:val="right"/>
              <w:rPr/>
            </w:pPr>
            <w:r>
              <w:rPr/>
              <w:t>4,087.7</w:t>
            </w:r>
          </w:p>
        </w:tc>
        <w:tc>
          <w:tcPr>
            <w:tcW w:w="255"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shd w:fill="FFFFFF" w:val="clear"/>
            <w:tcMar>
              <w:bottom w:w="28" w:type="dxa"/>
            </w:tcMar>
            <w:vAlign w:val="center"/>
          </w:tcPr>
          <w:p>
            <w:pPr>
              <w:pStyle w:val="TableContents"/>
              <w:bidi w:val="0"/>
              <w:spacing w:before="0" w:after="283"/>
              <w:jc w:val="right"/>
              <w:rPr/>
            </w:pPr>
            <w:r>
              <w:rPr/>
              <w:t>120.1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increased by $213,128, or 117.3%, and $430,569, or 74.8%, for the three and six months ended June 30, 2026, respectively, compared to the corresponding periods in 2025. The increases were primarily driven by higher labor and cloud-related research and development costs, partially offset by lower compliance and testing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for the three and six months ended June 30, 2026 and 2025 are summarized as follows:</w:t>
      </w:r>
    </w:p>
    <w:p>
      <w:pPr>
        <w:pStyle w:val="TextBody"/>
        <w:bidi w:val="0"/>
        <w:spacing w:before="0" w:after="0"/>
        <w:ind w:left="0" w:right="0" w:hanging="0"/>
        <w:jc w:val="left"/>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2135"/>
        <w:gridCol w:w="60"/>
        <w:gridCol w:w="200"/>
        <w:gridCol w:w="1143"/>
        <w:gridCol w:w="307"/>
        <w:gridCol w:w="85"/>
        <w:gridCol w:w="200"/>
        <w:gridCol w:w="1143"/>
        <w:gridCol w:w="215"/>
        <w:gridCol w:w="60"/>
        <w:gridCol w:w="145"/>
        <w:gridCol w:w="910"/>
        <w:gridCol w:w="95"/>
        <w:gridCol w:w="60"/>
        <w:gridCol w:w="122"/>
        <w:gridCol w:w="1053"/>
        <w:gridCol w:w="305"/>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307"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373,695</w:t>
            </w:r>
          </w:p>
        </w:tc>
        <w:tc>
          <w:tcPr>
            <w:tcW w:w="30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770,247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(396,552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12" w:space="0" w:color="000000"/>
            </w:tcBorders>
            <w:shd w:fill="CCEEFF" w:val="clear"/>
            <w:tcMar>
              <w:bottom w:w="28" w:type="dxa"/>
            </w:tcMar>
            <w:vAlign w:val="center"/>
          </w:tcPr>
          <w:p>
            <w:pPr>
              <w:pStyle w:val="TableContents"/>
              <w:bidi w:val="0"/>
              <w:spacing w:before="0" w:after="283"/>
              <w:jc w:val="right"/>
              <w:rPr/>
            </w:pPr>
            <w:r>
              <w:rPr/>
              <w:t>(51.5</w:t>
            </w:r>
          </w:p>
        </w:tc>
        <w:tc>
          <w:tcPr>
            <w:tcW w:w="305" w:type="dxa"/>
            <w:tcBorders/>
            <w:shd w:fill="CCEEFF" w:val="clear"/>
            <w:vAlign w:val="center"/>
          </w:tcPr>
          <w:p>
            <w:pPr>
              <w:pStyle w:val="TableContents"/>
              <w:bidi w:val="0"/>
              <w:spacing w:before="0" w:after="283"/>
              <w:jc w:val="left"/>
              <w:rPr/>
            </w:pPr>
            <w:r>
              <w:rPr/>
              <w:t>)%</w:t>
            </w:r>
          </w:p>
        </w:tc>
      </w:tr>
      <w:tr>
        <w:trPr/>
        <w:tc>
          <w:tcPr>
            <w:tcW w:w="2135" w:type="dxa"/>
            <w:tcBorders/>
            <w:shd w:fill="FFFFFF" w:val="clear"/>
            <w:vAlign w:val="center"/>
          </w:tcPr>
          <w:p>
            <w:pPr>
              <w:pStyle w:val="TableContents"/>
              <w:bidi w:val="0"/>
              <w:spacing w:before="0" w:after="283"/>
              <w:jc w:val="left"/>
              <w:rPr/>
            </w:pPr>
            <w:r>
              <w:rPr/>
              <w:t>Percentage of revenue</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3,014.2</w:t>
            </w:r>
          </w:p>
        </w:tc>
        <w:tc>
          <w:tcPr>
            <w:tcW w:w="307"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607.3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937" w:type="dxa"/>
        <w:jc w:val="left"/>
        <w:tblInd w:w="0" w:type="dxa"/>
        <w:tblLayout w:type="fixed"/>
        <w:tblCellMar>
          <w:top w:w="0" w:type="dxa"/>
          <w:left w:w="0" w:type="dxa"/>
          <w:bottom w:w="0" w:type="dxa"/>
          <w:right w:w="0" w:type="dxa"/>
        </w:tblCellMar>
      </w:tblPr>
      <w:tblGrid>
        <w:gridCol w:w="2135"/>
        <w:gridCol w:w="60"/>
        <w:gridCol w:w="154"/>
        <w:gridCol w:w="1083"/>
        <w:gridCol w:w="237"/>
        <w:gridCol w:w="66"/>
        <w:gridCol w:w="154"/>
        <w:gridCol w:w="1083"/>
        <w:gridCol w:w="215"/>
        <w:gridCol w:w="60"/>
        <w:gridCol w:w="67"/>
        <w:gridCol w:w="988"/>
        <w:gridCol w:w="95"/>
        <w:gridCol w:w="60"/>
        <w:gridCol w:w="122"/>
        <w:gridCol w:w="1053"/>
        <w:gridCol w:w="305"/>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37"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83" w:type="dxa"/>
            <w:tcBorders>
              <w:bottom w:val="single" w:sz="12" w:space="0" w:color="000000"/>
            </w:tcBorders>
            <w:shd w:fill="CCEEFF" w:val="clear"/>
            <w:tcMar>
              <w:bottom w:w="28" w:type="dxa"/>
            </w:tcMar>
            <w:vAlign w:val="center"/>
          </w:tcPr>
          <w:p>
            <w:pPr>
              <w:pStyle w:val="TableContents"/>
              <w:bidi w:val="0"/>
              <w:spacing w:before="0" w:after="283"/>
              <w:jc w:val="right"/>
              <w:rPr/>
            </w:pPr>
            <w:r>
              <w:rPr/>
              <w:t>1,286,840</w:t>
            </w:r>
          </w:p>
        </w:tc>
        <w:tc>
          <w:tcPr>
            <w:tcW w:w="23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83" w:type="dxa"/>
            <w:tcBorders>
              <w:bottom w:val="single" w:sz="12" w:space="0" w:color="000000"/>
            </w:tcBorders>
            <w:shd w:fill="CCEEFF" w:val="clear"/>
            <w:tcMar>
              <w:bottom w:w="28" w:type="dxa"/>
            </w:tcMar>
            <w:vAlign w:val="center"/>
          </w:tcPr>
          <w:p>
            <w:pPr>
              <w:pStyle w:val="TableContents"/>
              <w:bidi w:val="0"/>
              <w:spacing w:before="0" w:after="283"/>
              <w:jc w:val="right"/>
              <w:rPr/>
            </w:pPr>
            <w:r>
              <w:rPr/>
              <w:t>1,452,996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(166,156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12" w:space="0" w:color="000000"/>
            </w:tcBorders>
            <w:shd w:fill="CCEEFF" w:val="clear"/>
            <w:tcMar>
              <w:bottom w:w="28" w:type="dxa"/>
            </w:tcMar>
            <w:vAlign w:val="center"/>
          </w:tcPr>
          <w:p>
            <w:pPr>
              <w:pStyle w:val="TableContents"/>
              <w:bidi w:val="0"/>
              <w:spacing w:before="0" w:after="283"/>
              <w:jc w:val="right"/>
              <w:rPr/>
            </w:pPr>
            <w:r>
              <w:rPr/>
              <w:t>(11.4</w:t>
            </w:r>
          </w:p>
        </w:tc>
        <w:tc>
          <w:tcPr>
            <w:tcW w:w="305" w:type="dxa"/>
            <w:tcBorders/>
            <w:shd w:fill="CCEEFF" w:val="clear"/>
            <w:vAlign w:val="center"/>
          </w:tcPr>
          <w:p>
            <w:pPr>
              <w:pStyle w:val="TableContents"/>
              <w:bidi w:val="0"/>
              <w:spacing w:before="0" w:after="283"/>
              <w:jc w:val="left"/>
              <w:rPr/>
            </w:pPr>
            <w:r>
              <w:rPr/>
              <w:t>)%</w:t>
            </w:r>
          </w:p>
        </w:tc>
      </w:tr>
      <w:tr>
        <w:trPr/>
        <w:tc>
          <w:tcPr>
            <w:tcW w:w="2135" w:type="dxa"/>
            <w:tcBorders/>
            <w:shd w:fill="FFFFFF" w:val="clear"/>
            <w:vAlign w:val="center"/>
          </w:tcPr>
          <w:p>
            <w:pPr>
              <w:pStyle w:val="TableContents"/>
              <w:bidi w:val="0"/>
              <w:spacing w:before="0" w:after="283"/>
              <w:jc w:val="left"/>
              <w:rPr/>
            </w:pPr>
            <w:r>
              <w:rPr/>
              <w:t>Percentage of revenue</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3" w:type="dxa"/>
            <w:tcBorders>
              <w:bottom w:val="single" w:sz="12" w:space="0" w:color="000000"/>
            </w:tcBorders>
            <w:shd w:fill="FFFFFF" w:val="clear"/>
            <w:tcMar>
              <w:bottom w:w="28" w:type="dxa"/>
            </w:tcMar>
            <w:vAlign w:val="center"/>
          </w:tcPr>
          <w:p>
            <w:pPr>
              <w:pStyle w:val="TableContents"/>
              <w:bidi w:val="0"/>
              <w:spacing w:before="0" w:after="283"/>
              <w:jc w:val="right"/>
              <w:rPr/>
            </w:pPr>
            <w:r>
              <w:rPr/>
              <w:t>5,228.5</w:t>
            </w:r>
          </w:p>
        </w:tc>
        <w:tc>
          <w:tcPr>
            <w:tcW w:w="237"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3" w:type="dxa"/>
            <w:tcBorders>
              <w:bottom w:val="single" w:sz="12" w:space="0" w:color="000000"/>
            </w:tcBorders>
            <w:shd w:fill="FFFFFF" w:val="clear"/>
            <w:tcMar>
              <w:bottom w:w="28" w:type="dxa"/>
            </w:tcMar>
            <w:vAlign w:val="center"/>
          </w:tcPr>
          <w:p>
            <w:pPr>
              <w:pStyle w:val="TableContents"/>
              <w:bidi w:val="0"/>
              <w:spacing w:before="0" w:after="283"/>
              <w:jc w:val="right"/>
              <w:rPr/>
            </w:pPr>
            <w:r>
              <w:rPr/>
              <w:t>303.1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decreased by $396,552, or 51.5%, and $166,156, or 11.4%, for the three and six months ended June 30, 2026, respectively, compared to the corresponding periods in 2025. The decreases were primarily attributable to lower spending on brand-related marketing activities, events and sponsorships, as well as reduced expenditures for customer relationship management and other marketing software tools.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three and six months ended June 30, 2026 and 2025 are summarized as follows:</w:t>
      </w:r>
    </w:p>
    <w:p>
      <w:pPr>
        <w:pStyle w:val="TextBody"/>
        <w:bidi w:val="0"/>
        <w:spacing w:before="0" w:after="0"/>
        <w:ind w:left="0" w:right="0" w:hanging="0"/>
        <w:jc w:val="left"/>
        <w:rPr>
          <w:caps w:val="false"/>
          <w:smallCaps w:val="false"/>
        </w:rPr>
      </w:pPr>
      <w:r>
        <w:rPr>
          <w:caps w:val="false"/>
          <w:smallCaps w:val="false"/>
        </w:rPr>
        <w:t> </w:t>
      </w:r>
    </w:p>
    <w:tbl>
      <w:tblPr>
        <w:tblW w:w="8568" w:type="dxa"/>
        <w:jc w:val="left"/>
        <w:tblInd w:w="0" w:type="dxa"/>
        <w:tblLayout w:type="fixed"/>
        <w:tblCellMar>
          <w:top w:w="0" w:type="dxa"/>
          <w:left w:w="0" w:type="dxa"/>
          <w:bottom w:w="0" w:type="dxa"/>
          <w:right w:w="0" w:type="dxa"/>
        </w:tblCellMar>
      </w:tblPr>
      <w:tblGrid>
        <w:gridCol w:w="2570"/>
        <w:gridCol w:w="60"/>
        <w:gridCol w:w="181"/>
        <w:gridCol w:w="1267"/>
        <w:gridCol w:w="278"/>
        <w:gridCol w:w="77"/>
        <w:gridCol w:w="181"/>
        <w:gridCol w:w="1034"/>
        <w:gridCol w:w="215"/>
        <w:gridCol w:w="60"/>
        <w:gridCol w:w="140"/>
        <w:gridCol w:w="980"/>
        <w:gridCol w:w="60"/>
        <w:gridCol w:w="60"/>
        <w:gridCol w:w="113"/>
        <w:gridCol w:w="1062"/>
        <w:gridCol w:w="23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78"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2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67" w:type="dxa"/>
            <w:tcBorders>
              <w:bottom w:val="single" w:sz="12" w:space="0" w:color="000000"/>
            </w:tcBorders>
            <w:shd w:fill="CCEEFF" w:val="clear"/>
            <w:tcMar>
              <w:bottom w:w="28" w:type="dxa"/>
            </w:tcMar>
            <w:vAlign w:val="center"/>
          </w:tcPr>
          <w:p>
            <w:pPr>
              <w:pStyle w:val="TableContents"/>
              <w:bidi w:val="0"/>
              <w:spacing w:before="0" w:after="283"/>
              <w:jc w:val="right"/>
              <w:rPr/>
            </w:pPr>
            <w:r>
              <w:rPr/>
              <w:t>2,099,979</w:t>
            </w:r>
          </w:p>
        </w:tc>
        <w:tc>
          <w:tcPr>
            <w:tcW w:w="27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824,204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1,275,775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154.8</w:t>
            </w:r>
          </w:p>
        </w:tc>
        <w:tc>
          <w:tcPr>
            <w:tcW w:w="230" w:type="dxa"/>
            <w:tcBorders/>
            <w:shd w:fill="CCEEFF" w:val="clear"/>
            <w:vAlign w:val="center"/>
          </w:tcPr>
          <w:p>
            <w:pPr>
              <w:pStyle w:val="TableContents"/>
              <w:bidi w:val="0"/>
              <w:spacing w:before="0" w:after="283"/>
              <w:jc w:val="left"/>
              <w:rPr/>
            </w:pPr>
            <w:r>
              <w:rPr/>
              <w:t>%</w:t>
            </w:r>
          </w:p>
        </w:tc>
      </w:tr>
      <w:tr>
        <w:trPr/>
        <w:tc>
          <w:tcPr>
            <w:tcW w:w="2570" w:type="dxa"/>
            <w:tcBorders/>
            <w:shd w:fill="FFFFFF" w:val="clear"/>
            <w:vAlign w:val="center"/>
          </w:tcPr>
          <w:p>
            <w:pPr>
              <w:pStyle w:val="TableContents"/>
              <w:bidi w:val="0"/>
              <w:spacing w:before="0" w:after="283"/>
              <w:jc w:val="left"/>
              <w:rPr/>
            </w:pPr>
            <w:r>
              <w:rPr/>
              <w:t>Percentage of revenue</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12" w:space="0" w:color="000000"/>
            </w:tcBorders>
            <w:shd w:fill="FFFFFF" w:val="clear"/>
            <w:tcMar>
              <w:bottom w:w="28" w:type="dxa"/>
            </w:tcMar>
            <w:vAlign w:val="center"/>
          </w:tcPr>
          <w:p>
            <w:pPr>
              <w:pStyle w:val="TableContents"/>
              <w:bidi w:val="0"/>
              <w:spacing w:before="0" w:after="283"/>
              <w:jc w:val="right"/>
              <w:rPr/>
            </w:pPr>
            <w:r>
              <w:rPr/>
              <w:t>16,938.0</w:t>
            </w:r>
          </w:p>
        </w:tc>
        <w:tc>
          <w:tcPr>
            <w:tcW w:w="278"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649.8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327" w:type="dxa"/>
        <w:jc w:val="left"/>
        <w:tblInd w:w="0" w:type="dxa"/>
        <w:tblLayout w:type="fixed"/>
        <w:tblCellMar>
          <w:top w:w="0" w:type="dxa"/>
          <w:left w:w="0" w:type="dxa"/>
          <w:bottom w:w="0" w:type="dxa"/>
          <w:right w:w="0" w:type="dxa"/>
        </w:tblCellMar>
      </w:tblPr>
      <w:tblGrid>
        <w:gridCol w:w="2570"/>
        <w:gridCol w:w="60"/>
        <w:gridCol w:w="154"/>
        <w:gridCol w:w="1083"/>
        <w:gridCol w:w="237"/>
        <w:gridCol w:w="66"/>
        <w:gridCol w:w="154"/>
        <w:gridCol w:w="1083"/>
        <w:gridCol w:w="215"/>
        <w:gridCol w:w="60"/>
        <w:gridCol w:w="140"/>
        <w:gridCol w:w="980"/>
        <w:gridCol w:w="60"/>
        <w:gridCol w:w="60"/>
        <w:gridCol w:w="113"/>
        <w:gridCol w:w="1062"/>
        <w:gridCol w:w="23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37"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83" w:type="dxa"/>
            <w:tcBorders>
              <w:bottom w:val="single" w:sz="12" w:space="0" w:color="000000"/>
            </w:tcBorders>
            <w:shd w:fill="CCEEFF" w:val="clear"/>
            <w:tcMar>
              <w:bottom w:w="28" w:type="dxa"/>
            </w:tcMar>
            <w:vAlign w:val="center"/>
          </w:tcPr>
          <w:p>
            <w:pPr>
              <w:pStyle w:val="TableContents"/>
              <w:bidi w:val="0"/>
              <w:spacing w:before="0" w:after="283"/>
              <w:jc w:val="right"/>
              <w:rPr/>
            </w:pPr>
            <w:r>
              <w:rPr/>
              <w:t>4,516,691</w:t>
            </w:r>
          </w:p>
        </w:tc>
        <w:tc>
          <w:tcPr>
            <w:tcW w:w="23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83" w:type="dxa"/>
            <w:tcBorders>
              <w:bottom w:val="single" w:sz="12" w:space="0" w:color="000000"/>
            </w:tcBorders>
            <w:shd w:fill="CCEEFF" w:val="clear"/>
            <w:tcMar>
              <w:bottom w:w="28" w:type="dxa"/>
            </w:tcMar>
            <w:vAlign w:val="center"/>
          </w:tcPr>
          <w:p>
            <w:pPr>
              <w:pStyle w:val="TableContents"/>
              <w:bidi w:val="0"/>
              <w:spacing w:before="0" w:after="283"/>
              <w:jc w:val="right"/>
              <w:rPr/>
            </w:pPr>
            <w:r>
              <w:rPr/>
              <w:t>1,441,935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3,074,756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213.2</w:t>
            </w:r>
          </w:p>
        </w:tc>
        <w:tc>
          <w:tcPr>
            <w:tcW w:w="230" w:type="dxa"/>
            <w:tcBorders/>
            <w:shd w:fill="CCEEFF" w:val="clear"/>
            <w:vAlign w:val="center"/>
          </w:tcPr>
          <w:p>
            <w:pPr>
              <w:pStyle w:val="TableContents"/>
              <w:bidi w:val="0"/>
              <w:spacing w:before="0" w:after="283"/>
              <w:jc w:val="left"/>
              <w:rPr/>
            </w:pPr>
            <w:r>
              <w:rPr/>
              <w:t>%</w:t>
            </w:r>
          </w:p>
        </w:tc>
      </w:tr>
      <w:tr>
        <w:trPr/>
        <w:tc>
          <w:tcPr>
            <w:tcW w:w="2570" w:type="dxa"/>
            <w:tcBorders/>
            <w:shd w:fill="FFFFFF" w:val="clear"/>
            <w:vAlign w:val="center"/>
          </w:tcPr>
          <w:p>
            <w:pPr>
              <w:pStyle w:val="TableContents"/>
              <w:bidi w:val="0"/>
              <w:spacing w:before="0" w:after="283"/>
              <w:jc w:val="left"/>
              <w:rPr/>
            </w:pPr>
            <w:r>
              <w:rPr/>
              <w:t>Percentage of revenue</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3" w:type="dxa"/>
            <w:tcBorders>
              <w:bottom w:val="single" w:sz="12" w:space="0" w:color="000000"/>
            </w:tcBorders>
            <w:shd w:fill="FFFFFF" w:val="clear"/>
            <w:tcMar>
              <w:bottom w:w="28" w:type="dxa"/>
            </w:tcMar>
            <w:vAlign w:val="center"/>
          </w:tcPr>
          <w:p>
            <w:pPr>
              <w:pStyle w:val="TableContents"/>
              <w:bidi w:val="0"/>
              <w:spacing w:before="0" w:after="283"/>
              <w:jc w:val="right"/>
              <w:rPr/>
            </w:pPr>
            <w:r>
              <w:rPr/>
              <w:t>18,351.6</w:t>
            </w:r>
          </w:p>
        </w:tc>
        <w:tc>
          <w:tcPr>
            <w:tcW w:w="237"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3" w:type="dxa"/>
            <w:tcBorders>
              <w:bottom w:val="single" w:sz="12" w:space="0" w:color="000000"/>
            </w:tcBorders>
            <w:shd w:fill="FFFFFF" w:val="clear"/>
            <w:tcMar>
              <w:bottom w:w="28" w:type="dxa"/>
            </w:tcMar>
            <w:vAlign w:val="center"/>
          </w:tcPr>
          <w:p>
            <w:pPr>
              <w:pStyle w:val="TableContents"/>
              <w:bidi w:val="0"/>
              <w:spacing w:before="0" w:after="283"/>
              <w:jc w:val="right"/>
              <w:rPr/>
            </w:pPr>
            <w:r>
              <w:rPr/>
              <w:t>300.8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$1,275,775, or 154.8%, and $3,074,756, or 213.2%, for the three and six months ended June 30, 2026, respectively, compared to the corresponding periods in 2025. The increases were primarily attributable to higher costs associated with operating as a public company, including legal, auditing, accounting and board of director fees, as well as increased labor costs associated with the continued expansion of the Company’s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Requirements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is a measure of our ability to access sufficient cash flows to meet the short-term and long-term cash requirements of our business operations. To date, we have funded our operations primarily with proceeds from the issuance of shares of our Common Stock to PIPE investors contemporaneously with the close of the Business Combination, proceeds from bridge loans and other short-term borrowings. Our future capital requirements will depend on many factors, including, but not limited to, our growth, our ability to attract and retain customers, the continued market acceptance of our solution, the timing and extent of spending necessary to support our efforts to develop our Dot Cloud and meet our performance obligations related to subscription sales of the same, the expansion of sales and marketing activities, and the impact of macroeconomic conditions on us and our customers’ and partners’ businesses. Further, we may enter into arrangements to acquire or invest in businesses, products, services, and technologies. We will need to raise additional capital in the future to finance our operations and expand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Company’s assessment of going concern considerations in accordance with the Financial Accounting Standards Board (“FASB”) ASC Topic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xml:space="preserve"> management anticipates the Company will continue to incur substantial operating losses for the next several years and will need to obtain additional near-term financing in order to continue its research and development activities. Our ability to continue as a going concern is dependent on our ability to raise additional capital to fund research and development activities and meet obligations on a timely basis; however, there can be no assurance that sufficient funding will be available to allow us to successfully continue our research and development activities and commercialize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our business, results of operations, and prospects. These conditions raise substantial doubt about our ability to continue as a going concern within one year from the date these condensed consolidated financial statements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we had cash of $456,069 and $865,624, respectively, deficits in working capital of $9,475,752 and $1,730,095, respectively, and accumulated deficits of $69,687,375 and $61,451,334,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funded our operations primarily through proceeds from the issuance of common shares to PIPE investors in connection with the closing of the Business Combination, totaling $10,837,643, proceeds from bridge loans and other short-term borrowings. In the future, we expect to finance our cash needs through a combination of equity, debt financings, and improvement of cash from operations derived from selling subscriptions to our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shares of the Company’s Common Shares during the commitment period ending June 18, 2028, at a discount of the VWAP over a defined pricing period. Under the SEPA, the Company may sell shares to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purchase would be subject to certain limitations, including that New Circle shall not purchase any shares that would result in it and its affiliates beneficially owning more than 4.99% of the then outstanding voting power or number of shares of Common Stock or any shares that would exceed 19.99% of all shares of Common Stock of the Company outstanding on the date of the SEPA, unless Company shareholder approval was obtained allowing for issuances in excess of such amount (the “Exchange Cap”). The Exchange Cap will not apply under certain circumstances, including where the average purchase price of all applicable sales of Common Shares equals or exceeds the lower of (i) the Nasdaq Official Closing Price immediately preceding the Effective Date; or (ii) the average Nasdaq Official Closing Price for the five Trading Days immediately preceding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the option to satisfy the $350,000 commitment fee under the SEPA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Before the Company elects to sell shares by issuing a purchase notice, the SEPA represents a purchased put option on the Company’s equity. Once the Company delivers a purchase notice under the SEPA, the related number of shares to be issued constitutes a forward contract to issue shares of Common Stock. As the feature is embedded in an equity host, meets the definition of a derivative, and does not qualify for the equity scope exception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it must be bifurcated and accounted for separately as a derivative asset or liability, depending on changes in the underlying stock price relative to the pegged discounted VWAP. The derivative is measured at fair value, with changes in fair value recognized in net income. The fair value of the purchased put option was determined to be de minimis as of June 30, 2026, and therefore was not recorded on the Company’s balance sheet as of that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December 30, December 31, 2025, and February 10, 2026, the Company delivered purchase notices for 30,000, 500,000, 1,000,000, and 20,000 shares, respectively, at settlement prices of $2.62, $0.32, $0.32, and $0.26 per share, respectively. After giving effect to the Company’s 1-for-25 reverse stock split, these amounts are equivalent to 1,200, 20,000, 40,000, and 800 shares, respectively, at split-adjusted settlement prices of $65.50, $8.00, $8.00, and $6.50 per share, respectively. This resulted in gross proceeds of $78,516, $159,500, $317,000, and $5,164, respectively. The Company issued 30,000 shares in October 2025, 1,000,000 shares in December 2025, 500,000 shares in January 2026, and 20,000 shares in February 2026, equivalent to 1,200, 40,000, 20,000, and 800 shares, respectively, after giving effect to the 1-for-25 reverse stock split. Because the shares were issued to New Circle at prices determined using a discounted VWAP formula, the cash proceeds received were below the fair value of the shares on the respective issuance dates. The Company measured the shares at fair value on the date cash was received and recognized the difference between (i) the fair value of the shares issued and (ii) the proceeds calculated pursuant to the discounted VWAP pricing terms. For the three and six months ended June 30, 2026, the Company recognized losses of $0 and $1,256, respectively, related to share issuances under the New Circle ELOC in the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the Company entered into a loan agreement with J.J. Astor &amp; Co. (“J.J. Astor”) for up to $5,000,000 in senior secured convertible loans, consisting of an initial $2,000,000 tranche and up to three additional $1,000,000 tranches. The initial tranche was issued as a $2,000,000 convertible note, of which $1,810,000 was funded, net of fees. The note matures on November 30, 2026 and is repayable in twelve monthly installments, consisting of an initial payment of $108,334 followed by eleven monthly payments of approximately $226,515, totaling $2,600,000. Each additional tranche, if funded at the lender’s discretion and subject to specified conditions (including equity line of credit (“ELOC”) availability, Nasdaq listing, minimum stock price, and trading volume requirements), will be issued as a $1,000,000 convertible note with $960,000 funded net of fees and accompanied by a warrant. The Company is required to use proceeds from its ELOC to make monthly payments, with 80% of ELOC proceeds remitted directly to the lender. Certain extraordinary receipts must also be applied toward 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initial funding, the Company issued a warrant to purchase 230,770 shares at $1.69 per share, equivalent to approximately 9,231 shares at an exercise price of $42.25 per share after giving effect to the Company’s 1-for-25 reverse stock split. Additional tranches, if funded, would include similar convertible notes and warrants. The agreement also requires the use of ELOC proceeds for repayment, with 80% of such proceeds remitted directly to the lender, and certain extraordinary receipts applied to outstanding balances. See “Derivative Liabilities” below for further discussion of the accounting for the warrant and embedded features.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paid $794,078 and $1,568,894, respectively, to J.J. Astor. Including the initial repayment of $108,334 in December 2025, the Company had repaid $1,677,228 as of June 30, 2026, leaving an outstanding balance of $922,772. On June 23, 2026, J.J. Astor &amp; Co. entered into a Note Purchase and Assignment Agreement with LHT I, LLC, pursuant to which LHT I, LLC acquired J.J. Astor’s remaining rights and interests under the loan agreement and assumed the related lender obligations under the existing terms. In connection with the assignment, LHT I, LLC paid $924,616 directly to J.J. Astor. Accordingly, the Company recorded the remaining obligation as a short-term loan payable to LHT I, LLC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2026, the Company entered into a Common Stock Purchase Agreement with White Lion, pursuant to which the Company has the right, but not the obligation, to sell to White Lion from time to time up to an aggregate of $10.0 million of the Company’s common stock during the commitment period, subject to the terms, conditions, and limitations set forth in the agreement. The Company may initiate purchases by delivering either a Rapid Purchase Notice or a VWAP Purchase Notice to White Lion. For each purchase, the Company is required to deliver the applicable shares to White Lion’s designated brokerage account through the Depository Trust Company’s DWAC system. The purchase price and investment amount are determined in accordance with the pricing provisions applicable to the selected purchase mechanism, including, for VWAP purchases, the volume-weighted average market price of the Company’s common stock during the applicable valuation period. Each purchase is subject to customary closing conditions, applicable beneficial ownership limitations, and certain restricted periods during which purchase notices may not be delivered. Generally, White Lion is required to remit the applicable purchase amount to the Company no later than one business day following the applicable purchase notice date or, in the case of a VWAP purchase, the applicable VWAP valuation period. The Company may not deliver a subsequent purchase notice until the prior purchase has closed, unless White Lion waives such restriction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June 2026, the Company delivered multiple purchase notices to White Lion and received aggregate proceeds of $640,192 in exchange for the issuance of 329,898 shares of common stock. Because the shares were issued at prices determined using a discounted VWAP formula, the proceeds received were less than the fair value of the shares on the respective issuance dates. Accordingly, the Company measured the shares issued at fair value and recognized the difference between the fair value of the shares and the related cash proceeds as a loss on issuance. For both the three and six months ended June 30, 2026, the Company recognized a loss of $600 related to share issuances under the White Lion ELOC in the condensed consolidated statements of operations. In addition, White Lion had exercised $180,000 of warrants, resulting in the issuance of 65,596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entered into a note purchase agreement pursuant to which White Lion agreed to purchase senior secured convertible promissory notes with an aggregate principal amount of up to $2.875 million, reflecting a 20% original issue discount on aggregate cash proceeds of up to $2.3 million. The notes are secured by substantially all of the Company’s assets, and are convertible into common stock at a discount to the market price, subject to further reductions in the conversion price upon certain events of default. In connection with the financing, White Lion is also entitled to commitment shares valued at $120,000 and warrants to purchase up to $2.0 million of common stock at an exercise price equal to 99% of the closing market price on the trading day immediately preceding the applicable exercise date. Aggregate share issuances under the agreements are subject to a 19.99% cap on the Company’s outstanding common stock unless stockholder approval is obtained.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White Lion had funded $690,000 to the Company under the convertible note arrangement, net of $172,500 of issuance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Edmund Nabrotzky, Chief Executive Officer of the Company, Charles Maddox, Chief Financial Officer and Chief Operating Officer of the Company, and Vijayan Nambiar, Chief Technology Officer of the Company loaned the Company an aggregate of $349,996 and may make additional loans to the Company up to an aggregate amount of $600,000 (collectively, the “Executive Loans”). The Executive Loans have been made, on the terms and conditions of an unsecured, subordinated promissory note (the “Executive Notes”). The Executive Notes accrue interest at a rate of 7.5% per annum, and will be paid in quarterly installments on July 1, 2026, October 1, 2026 with a final payment by December 31, 2026. All of the Company’s obligations and payments under the Executive Notes are subordinated to the Company’s obligations under the loan agreement with J.J. Astor &amp; 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events subsequent to June 30, 2026, refer to Subsequent event (Note 21) in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a summary of the cash flow for the periods presented:</w:t>
      </w:r>
    </w:p>
    <w:p>
      <w:pPr>
        <w:pStyle w:val="TextBody"/>
        <w:bidi w:val="0"/>
        <w:spacing w:before="0" w:after="0"/>
        <w:ind w:left="0" w:right="0" w:hanging="0"/>
        <w:jc w:val="left"/>
        <w:rPr>
          <w:caps w:val="false"/>
          <w:smallCaps w:val="false"/>
        </w:rPr>
      </w:pPr>
      <w:r>
        <w:rPr>
          <w:caps w:val="false"/>
          <w:smallCaps w:val="false"/>
        </w:rPr>
        <w:t> </w:t>
      </w:r>
    </w:p>
    <w:tbl>
      <w:tblPr>
        <w:tblW w:w="6778" w:type="dxa"/>
        <w:jc w:val="left"/>
        <w:tblInd w:w="0" w:type="dxa"/>
        <w:tblLayout w:type="fixed"/>
        <w:tblCellMar>
          <w:top w:w="0" w:type="dxa"/>
          <w:left w:w="0" w:type="dxa"/>
          <w:bottom w:w="0" w:type="dxa"/>
          <w:right w:w="0" w:type="dxa"/>
        </w:tblCellMar>
      </w:tblPr>
      <w:tblGrid>
        <w:gridCol w:w="3890"/>
        <w:gridCol w:w="60"/>
        <w:gridCol w:w="147"/>
        <w:gridCol w:w="1107"/>
        <w:gridCol w:w="99"/>
        <w:gridCol w:w="63"/>
        <w:gridCol w:w="147"/>
        <w:gridCol w:w="1155"/>
        <w:gridCol w:w="11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(1,706,742</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155" w:type="dxa"/>
            <w:tcBorders/>
            <w:shd w:fill="CCEEFF" w:val="clear"/>
            <w:vAlign w:val="center"/>
          </w:tcPr>
          <w:p>
            <w:pPr>
              <w:pStyle w:val="TableContents"/>
              <w:bidi w:val="0"/>
              <w:spacing w:before="0" w:after="283"/>
              <w:jc w:val="right"/>
              <w:rPr/>
            </w:pPr>
            <w:r>
              <w:rPr/>
              <w:t>(6,392,742</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(39,296</w:t>
            </w:r>
          </w:p>
        </w:tc>
        <w:tc>
          <w:tcPr>
            <w:tcW w:w="99"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(743,798</w:t>
            </w:r>
          </w:p>
        </w:tc>
        <w:tc>
          <w:tcPr>
            <w:tcW w:w="110"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1,336,483</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155" w:type="dxa"/>
            <w:tcBorders/>
            <w:shd w:fill="CCEEFF" w:val="clear"/>
            <w:vAlign w:val="center"/>
          </w:tcPr>
          <w:p>
            <w:pPr>
              <w:pStyle w:val="TableContents"/>
              <w:bidi w:val="0"/>
              <w:spacing w:before="0" w:after="283"/>
              <w:jc w:val="right"/>
              <w:rPr/>
            </w:pPr>
            <w:r>
              <w:rPr/>
              <w:t>12,908,154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uses of cash in operating activities include employee-related expenditures, sales and marketing activities, inventory purchases, and research and development activities. We have historically supplemented our liquidity and working capital through proceeds from the issuance of equity securities and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$1.7 million for the six months ended June 30, 2026, compared to $6.4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used in operating activities consisted of a net loss of $8.2 million, partially offset by net non-cash adjustments of $1.2 million and a $5.3 million net source of cash from changes in operating assets and liabilities. Non-cash adjustments primarily included depreciation expense of $0.3 million, amortization of debt origination fees of $0.3 million, $0.3 million of interest expense, $0.1 million of shares issued for debt origination fees, and $0.1 million of shares issued for services. Changes in operating assets and liabilities were primarily attributable to a $3.6 million decrease in accounts receivable and a $2.5 million increase in accounts payable, partially offset by a $1.2 million increase in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net cash used in operating activities consisted of a net loss of $30.1 million, partially offset by net non-cash adjustments of $19.9 million and a $3.8 million net source of cash from changes in operating assets and liabilities. Non-cash adjustments were primarily attributable to a $17.4 million change in the fair value of SAFE notes and a $5.7 million loss on debt extinguishment, partially offset by a $3.3 million adjustment related to the reverse recapitalization transaction. Changes in operating assets and liabilities were primarily attributable to a $3.9 million increase in accrued taxes and a $1.0 million increase in accrued expenses, partially offset by decreases in accounts payable and other working capital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net cash used in operating activities in 2026 compared to 2025 was primarily attributable to the lower net loss and favorable changes in working capital, particularly collections of accounts receivable and increases in accounts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$39,296 for the six months ended June 30, 2026, compared to $743,798 for the six months ended June 30, 2025, representing a decrease of $704,502, or 94.7%.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used in investing activities consisted entirely of $39,296 of capitalized software development costs related to qualifying development activities, including costs associated with version 4 of the Company’s internally developed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net cash used in investing activities consisted of $636,598 of capitalized software development costs and $107,200 of purchases of property and equipment. The decrease in cash used in investing activities was primarily attributable to lower capitalized software development costs and the absence of property and equipment purchases during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$1.3 million for the six months ended June 30, 2026, compared to $12.9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provided by financing activities was primarily attributable to $1.2 million of proceeds from short-term loans, $0.6 million of proceeds from the issuance of common stock, $0.3 million of proceeds from short-term loans from related parties, and $0.2 million of proceeds from warrant exercises, partially offset by $1.0 million of repayments of short-term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net cash provided by financing activities was primarily attributable to $10.8 million of proceeds from PIPE investments, $5.6 million of proceeds from trust accounts, and $2.85 million of proceeds from short-term loans. These cash inflows were partially offset by $5.0 million used to purchase common stock and $1.4 million used to repay bridge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net cash provided by financing activities for the six months ended June 30, 2026 compared to the corresponding period in 2025 was primarily attributable to the absence of PIPE investment and trust account proceeds received in 2025, partially offset by proceeds from short-term borrowings, common stock issuances, and warrant exercises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estimated future obligations consist of leases and non-cancellable purchase commitments as of June 30, 2026. For additional discussion on our leases and other commitments, refer to Note 14  –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xml:space="preserve"> and Note 18  – </w:t>
      </w:r>
      <w:r>
        <w:rPr>
          <w:rFonts w:ascii="Times New Roman;Times;Serif" w:hAnsi="Times New Roman;Times;Serif"/>
          <w:b w:val="false"/>
          <w:i/>
          <w:caps w:val="false"/>
          <w:smallCaps w:val="false"/>
          <w:sz w:val="20"/>
        </w:rPr>
        <w:t>Commitments and Contingencies</w:t>
      </w:r>
      <w:r>
        <w:rPr>
          <w:rFonts w:ascii="Times New Roman;Times;Serif" w:hAnsi="Times New Roman;Times;Serif"/>
          <w:b w:val="false"/>
          <w:i w:val="false"/>
          <w:caps w:val="false"/>
          <w:smallCaps w:val="false"/>
          <w:sz w:val="20"/>
        </w:rPr>
        <w:t xml:space="preserve"> to our condensed consolidated financial statements for the three and six months ended June 30, 2026 included elsewhere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condition and results of operations is based on our financial statements, which have been prepared in accordance with U.S. GAAP. The preparation of these condensed consolidated financial statements requires management to make estimates and assumptions that affect the reported amounts of assets, liabilities, revenues, and expenses, as well as related disclosures. Actual results may differ from those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our critical accounting policies and estimates from those disclosed in our Annual Report on Form 10-K filed with the SEC on March 11, 2026. Refer to the section titled “Critical Accounting Policies and Estimates” included in that filing for a discussion of our significant judgments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and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describe the recently issued accounting pronouncements that apply in Note 2 of the condensed consolidated financial statements as of and for the three and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current management, including our CEO and CFO, we evaluated the effectiveness of our disclosure controls and procedures as defined in Rules 13a-15(e) and 15d-15(e) under the Securities Exchange Act of 1934, as amended (the “Exchange Act”), as of June 30, 2026. Based on this evaluation of our disclosure controls and procedures, our CEO and CFO have concluded that our disclosure controls and procedures were not effective as of June 30, 2026 because of certain material weaknesses in our internal control over financial reporting, as further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conclusion by our CEO and CFO that our disclosure controls and procedures as of June 30, 2026 were not effective, and notwithstanding the material weaknesses in our internal control over financial reporting described below, management believes that the condensed consolidated financial statements and related financial information included in this Quarterly Report on Form 10-Q fairly present in all material respects our financial condition, results of operations, and cash flows as of the dates presented, and for the periods ended on such dates, in conformity with accounting principles generally accepted in the United States of America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Weaknesses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Accounting Personnel and Financial Reporting Controls.</w:t>
      </w:r>
      <w:r>
        <w:rPr>
          <w:rFonts w:ascii="Times New Roman;Times;Serif" w:hAnsi="Times New Roman;Times;Serif"/>
          <w:b w:val="false"/>
          <w:i w:val="false"/>
          <w:caps w:val="false"/>
          <w:smallCaps w:val="false"/>
          <w:sz w:val="20"/>
        </w:rPr>
        <w:t xml:space="preserve"> Management determined that the Company does not currently maintain sufficient accounting personnel and has not fully designed and implemented the processes and internal controls necessary to support accurate and timely financial reporting. These deficiencies (i) limit the Company’s ability to effectively review and approve certain material journal entries and properly adopt new accounting pronouncements, increasing the risk that a material misstatement of interim or annual financial statements may not be prevented or detected on a timely basis, and (ii) have resulted in an insufficient segregation of duties between the preparation, review, and approval of certain material reconciliations and other financial reporting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management identified that the Company did not initially accrue all Board of Director compensation earned during the year ended December 31, 2025. During the year-end audit process, management recorded the appropriate accrual and related Board of Director compensation expense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management identified presentation revisions in the statements of cash flows for the six months ended June 30, 2025 and the nine months ended September 30, 2025. Certain items were reclassified between operating and financing activities, including amounts related to short-term debt and proceeds from bridge financing arrangements, and certain components associated with the reverse recapitalization transaction were adjusted for proper presentation. These revisions affected the classification of cash flows between operating and financing activities but had no impact on total change in cash, net loss, or previously reported balance sheet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evaluated the quantitative and qualitative factors associated with these matters and concluded that the corrections were not material to any previously issued annual or interim financial statements. Accordingly, the Company has reflected these changes in the affected prior-period financial statements in this Quarterly Report to reflect these reclassifications as immaterial reclassifications to previously issued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Fair Value Calculation Controls.</w:t>
      </w:r>
      <w:r>
        <w:rPr>
          <w:rFonts w:ascii="Times New Roman;Times;Serif" w:hAnsi="Times New Roman;Times;Serif"/>
          <w:b w:val="false"/>
          <w:i w:val="false"/>
          <w:caps w:val="false"/>
          <w:smallCaps w:val="false"/>
          <w:sz w:val="20"/>
        </w:rPr>
        <w:t xml:space="preserve"> In addition, management identified a material weakness  in the design of internal controls related to the review of the fair value calculation of SAFE notes performed by a third-party valuation specialist. The controls lacked the precision needed to detect inappropriate inputs that could materially impact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actively working to develop and implement remediation plans related to the material weakness identified in this section. Remediation efforts include enhancing the design and implementation of controls over the accounting for financial instruments and hiring additional qualified accounting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other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“Note 17 – Commitments and Contingencies in “ for the year ended December 31, 2025, “Part II, Item 8. Financial Statements and Supplementary Data” in our Annual Report on Form 10-K for the year ended December 31, 2025, and “Part. II, Item 1. Legal Proceedings” and “Note 17 — Commitments and Contingencies” in “Part I, Item 1. Financial Statements” in our Quarterly Report on Form 10-Q for the quarter ended March 31, 2026, and “Note 17 — Commitments and Contingencies” and “Note 21 –Subsequent Events” in “Part I, Item 1. Financial Statements” in this Quarterly Report on Form 10-Q for information regarding material pending legal proceedings. Except as set forth therein, there have been no new material legal proceedings and no material developments in any of our previously disclosed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Quarterly Report, there have been no material changes to the risk factors previously disclosed in our Form 10-K filed on March 11, 2026, other than as provided below. Any of these factors could have a material adverse effect on our results of operations or financial condition. Additional risks not currently known to us or that we presently consider immaterial may also adversely affect our business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shares of our Common Stock and Series C Convertible Nonredeemable Preferred Stock to Blade Ranger and Blink under the Term Sheet and the issuance of shares of Common Stock upon conversion of the H Capital Note will dilute the ownership interest of our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binding Term Sheet to acquire 100% of Envoy’s outstanding common stock in consideration for which the Company will issue shares equal to an aggregate of 10,833,333 shares of Common Stock consisting of 233,543 shares Common Stock to BladeRanger and shares of newly authorized Series C Convertible Preferred Stock, of which 2,166,667 shares will be issued to Blink Charging Co. and 8,433,123 shares will be issued to BladeRanger. The Series C Preferred has a $6.00 stated value per share and generally will convert one-for-one basis into Common Stock automatically upon stockholder approval, subject to a 19.99% conversion limitation. In connection with the Term Sheet, we issued the H Capital Note that is convertible into shares of our Common Stock subject to a 19.99% conversion limitation and other beneficial ownership limitations. Accordingly, the transaction to acquire Envoy and the conversion of the H Capital Note will result in dilution to the holders of our Common Stock, and such dilution could cause the trading price of our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conversion of the Series C Preferred and the H Capital Note issued in connection with the Envoy transaction are contingent upon us obtaining stockholder approval pursuant to Nasdaq Rule 5635 (“Stockholder Approval”). If we do not obtain the Stockholder Approval, these securities may never become issuable and/or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receipt of Stockholder Approval under Nasdaq Rule 5635, the Series C Preferred and H Capital Note will be convertible into no more than an aggregate of 19.99% of our outstanding Common Stock as of the date of issuance (if at all). Accordingly, the Company has agreed to duly call, give notice of, convene, and hold a stockholder meeting (the “Stockholder Meeting”) as soon as reasonably practicable, for the purposes of obtaining Stockholder Approval. If Stockholder Approval is not obtained at the first Stockholder Meeting, the Company is obligated to cause an additional Stockholder Meeting to be no less frequently than once every three months, until Stockholder Approval is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no assurances that our Common Stock will remain listed on Nasdaq, which could have a material adverse effect on the liquidity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is listed on the Nasdaq Global Market. On February 5, 2026, the Company received a deficiency notice from Nasdaq indicating that its Common Stock did not meet the minimum bid price and minimum market value of listed securities continued listing requirements. The Company received an additional deficiency notice from Nasdaq on February 10, 2026 indicating that its Common Stock did not meet the minimum publicly held share value requirement. In accordance with Nasdaq Listing Rule 5810(c)(3)(A) and 5810(c)(3)(C), the Company had 180 calendar days, or until August 4, 2026, to regain compliance with each requirement. Additionally, in accordance with Nasdaq Listing Rule 5810(c)(3)(D) the Company had 180 calendar days, or until August 10, 2026 to regain compliance with the minimum publicly held share value requirement. On August 27, 2026, the Company received a written notification from Nasdaq identifying an additional basis for the potential delisting of the Company’s Common Stock, from Nasdaq because the Company had not yet filed its Annual Report on Form 10-Q for the period ended June 30, 2026. Accordingly, Nasdaq determined that such matter served as an additional basis for delisting the Company’s securities from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2026, the Company received formal written notice from Nasdaq indicating that the Company had regained compliance with the minimum bid price requirement for continued listing on the Nasdaq Global Market, because the closing bid price of the Common Stock had been $1.00 per share or greater for the last 12 consecutive business days from June 8, 2026 to June 22, 2026. The Company, however, did not regain compliance with the minimum market value of listed securities by the August 4, 2026 deadline or the minimum publicly held share value requirement by the August 10, 2026 deadline. Nasdaq, therefore, determined that these matters served as bases for delisting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timely requested a hearing before the Nasdaq Hearings Panel (the “Hearings Panel”) with respect to the determination relating to the minimum market value of listed securities and paid the applicable $20,000 hearing fee (the “Hearing”). The Hearing request stayed the suspension of the Company’s securities and the filing of a Form 25-NSE with the Securities and Exchange Commission pending the issuance of a written decision by the Hearings Panel. The Hearings Panel will consider deficiency relating to the minimum publicly held share value requirement in its decision regarding the Company’s continued listing on Nasdaq at the Hearing. Additionally, the Company had the right to appeal the delisting determination based on its delinquent filing by requesting a hearing before the Hearings Panel. Under Nasdaq Listing Rule 5815(a)(1)(B), a hearing request regarding a delinquent filing stays the suspension of the Company’s securities for a period of 15 days from the date of the request, unless the Company specifically requests, and the Hearings Panel grants, a further stay. The Company timely requested an extended stay of the suspension and to present its views with respect to the delinquent filing deficiency, including its plan to complete the delinquent filing, to the Hearings Panel at the Hearing.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the Company appeared before a Nasdaq Hearings Panel (the “Hearings Panel”) and presented a compliance plan (the “Compliance Plan”) addressing the previously disclosed deficiencies in Nasdaq’s continued listing requirements for failure to satisfy the minimum market value of listed securities requirement of $50 million pursuant to Nasdaq Listing Rule 5450(b)(2)(A), the minimum market value of publicly held shares of $15 million required under Nasdaq Listing Rule 5450(b)(2)(C), and the Company’s failure to file its Quarterly Report on Form 10-Q for the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Hearings Panel will decide in the Company’s favor with respect to the Nasdaq Staff determinations, the Compliance Plan or any other matter. The Hearings Panel’s decision will determine the future of trading of the Common Stock on Nasdaq. The Common Stock remains listed on Nasdaq pending the outcome of the Hearing.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Insider Trading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and six months ended June 30, 2026, no director or officer, as defined in Rule 16a-1(f), adopted or terminated a “Rule 10b5-1 trading arrangement” or a “non-Rule 10b5-1 trading arrangement,” each as defined in Item 408 of Regulation 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1"/>
        <w:gridCol w:w="60"/>
        <w:gridCol w:w="7933"/>
        <w:gridCol w:w="60"/>
        <w:gridCol w:w="1671"/>
      </w:tblGrid>
      <w:tr>
        <w:trPr/>
        <w:tc>
          <w:tcPr>
            <w:tcW w:w="4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93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71" w:type="dxa"/>
            <w:tcBorders/>
            <w:vAlign w:val="center"/>
          </w:tcPr>
          <w:p>
            <w:pPr>
              <w:pStyle w:val="TableContents"/>
              <w:bidi w:val="0"/>
              <w:spacing w:before="0" w:after="283"/>
              <w:jc w:val="center"/>
              <w:rPr>
                <w:b/>
              </w:rPr>
            </w:pPr>
            <w:r>
              <w:rPr>
                <w:b/>
              </w:rPr>
              <w:t>Incorporation</w:t>
            </w:r>
          </w:p>
        </w:tc>
      </w:tr>
      <w:tr>
        <w:trPr/>
        <w:tc>
          <w:tcPr>
            <w:tcW w:w="481" w:type="dxa"/>
            <w:tcBorders>
              <w:bottom w:val="single" w:sz="12" w:space="0" w:color="000000"/>
            </w:tcBorders>
            <w:tcMar>
              <w:bottom w:w="28" w:type="dxa"/>
            </w:tcMar>
            <w:vAlign w:val="center"/>
          </w:tcPr>
          <w:p>
            <w:pPr>
              <w:pStyle w:val="TableContents"/>
              <w:bidi w:val="0"/>
              <w:spacing w:before="0" w:after="283"/>
              <w:jc w:val="left"/>
              <w:rPr>
                <w:b/>
              </w:rPr>
            </w:pPr>
            <w:r>
              <w:rPr>
                <w:b/>
              </w:rPr>
              <w:t>No.</w:t>
            </w:r>
          </w:p>
        </w:tc>
        <w:tc>
          <w:tcPr>
            <w:tcW w:w="60" w:type="dxa"/>
            <w:tcBorders/>
            <w:vAlign w:val="center"/>
          </w:tcPr>
          <w:p>
            <w:pPr>
              <w:pStyle w:val="TableContents"/>
              <w:bidi w:val="0"/>
              <w:spacing w:before="0" w:after="283"/>
              <w:jc w:val="center"/>
              <w:rPr/>
            </w:pPr>
            <w:r>
              <w:rPr/>
              <w:t> </w:t>
            </w:r>
          </w:p>
        </w:tc>
        <w:tc>
          <w:tcPr>
            <w:tcW w:w="7933" w:type="dxa"/>
            <w:tcBorders>
              <w:bottom w:val="single" w:sz="12" w:space="0" w:color="000000"/>
            </w:tcBorders>
            <w:tcMar>
              <w:bottom w:w="28" w:type="dxa"/>
            </w:tcMar>
            <w:vAlign w:val="center"/>
          </w:tcPr>
          <w:p>
            <w:pPr>
              <w:pStyle w:val="TableContents"/>
              <w:bidi w:val="0"/>
              <w:spacing w:before="0" w:after="283"/>
              <w:jc w:val="center"/>
              <w:rPr>
                <w:b/>
              </w:rPr>
            </w:pPr>
            <w:r>
              <w:rPr>
                <w:b/>
              </w:rPr>
              <w:t>Description of Exhibit</w:t>
            </w:r>
          </w:p>
        </w:tc>
        <w:tc>
          <w:tcPr>
            <w:tcW w:w="60" w:type="dxa"/>
            <w:tcBorders/>
            <w:vAlign w:val="center"/>
          </w:tcPr>
          <w:p>
            <w:pPr>
              <w:pStyle w:val="TableContents"/>
              <w:bidi w:val="0"/>
              <w:spacing w:before="0" w:after="283"/>
              <w:jc w:val="center"/>
              <w:rPr/>
            </w:pPr>
            <w:r>
              <w:rPr/>
              <w:t> </w:t>
            </w:r>
          </w:p>
        </w:tc>
        <w:tc>
          <w:tcPr>
            <w:tcW w:w="1671" w:type="dxa"/>
            <w:tcBorders>
              <w:bottom w:val="single" w:sz="12" w:space="0" w:color="000000"/>
            </w:tcBorders>
            <w:tcMar>
              <w:bottom w:w="28" w:type="dxa"/>
            </w:tcMar>
            <w:vAlign w:val="center"/>
          </w:tcPr>
          <w:p>
            <w:pPr>
              <w:pStyle w:val="TableContents"/>
              <w:bidi w:val="0"/>
              <w:spacing w:before="0" w:after="283"/>
              <w:jc w:val="center"/>
              <w:rPr>
                <w:b/>
              </w:rPr>
            </w:pPr>
            <w:r>
              <w:rPr>
                <w:b/>
              </w:rPr>
              <w:t>By Reference</w:t>
            </w:r>
          </w:p>
        </w:tc>
      </w:tr>
      <w:tr>
        <w:trPr/>
        <w:tc>
          <w:tcPr>
            <w:tcW w:w="481" w:type="dxa"/>
            <w:tcBorders/>
            <w:shd w:fill="CCEEFF" w:val="clear"/>
            <w:vAlign w:val="center"/>
          </w:tcPr>
          <w:p>
            <w:pPr>
              <w:pStyle w:val="TableContents"/>
              <w:bidi w:val="0"/>
              <w:spacing w:before="0" w:after="283"/>
              <w:jc w:val="left"/>
              <w:rPr/>
            </w:pPr>
            <w:r>
              <w:rPr/>
              <w:t>2.1+</w:t>
            </w:r>
          </w:p>
        </w:tc>
        <w:tc>
          <w:tcPr>
            <w:tcW w:w="60" w:type="dxa"/>
            <w:tcBorders/>
            <w:shd w:fill="CCEEFF" w:val="clear"/>
            <w:vAlign w:val="center"/>
          </w:tcPr>
          <w:p>
            <w:pPr>
              <w:pStyle w:val="TableContents"/>
              <w:bidi w:val="0"/>
              <w:spacing w:before="0" w:after="283"/>
              <w:jc w:val="left"/>
              <w:rPr/>
            </w:pPr>
            <w:r>
              <w:rPr/>
              <w:t> </w:t>
            </w:r>
          </w:p>
        </w:tc>
        <w:tc>
          <w:tcPr>
            <w:tcW w:w="7933" w:type="dxa"/>
            <w:tcBorders/>
            <w:shd w:fill="CCEEFF" w:val="clear"/>
            <w:vAlign w:val="center"/>
          </w:tcPr>
          <w:p>
            <w:pPr>
              <w:pStyle w:val="TableContents"/>
              <w:bidi w:val="0"/>
              <w:spacing w:before="0" w:after="283"/>
              <w:jc w:val="left"/>
              <w:rPr/>
            </w:pPr>
            <w:r>
              <w:fldChar w:fldCharType="begin"/>
            </w:r>
            <w:r>
              <w:rPr>
                <w:rStyle w:val="InternetLink"/>
              </w:rPr>
              <w:instrText xml:space="preserve"> HYPERLINK "https://www.sec.gov/Archives/edgar/data/2033770/000121390025003518/ea0208059-15.htm" \l "T201"</w:instrText>
            </w:r>
            <w:r>
              <w:rPr>
                <w:rStyle w:val="InternetLink"/>
              </w:rPr>
              <w:fldChar w:fldCharType="separate"/>
            </w:r>
            <w:r>
              <w:rPr>
                <w:rStyle w:val="InternetLink"/>
              </w:rPr>
              <w:t>Business Combination Agreement by and among ShoulderUp Technology Acquisition Corp., CID Holdco, Inc., ShoulderUp Merger Sub, Inc., SEI Merger Sub, Inc., and SEE ID, Inc., dated as of March 18, 2024 (incorporated by reference to Exhibit 2.1 of the CID Holdco, Inc.’s Registration Statement on Form S-4, filed with the SEC on January 15, 2025).</w:t>
            </w:r>
            <w:r>
              <w:rPr>
                <w:rStyle w:val="InternetLink"/>
              </w:rPr>
              <w:fldChar w:fldCharType="end"/>
            </w:r>
          </w:p>
        </w:tc>
        <w:tc>
          <w:tcPr>
            <w:tcW w:w="6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left"/>
              <w:rPr/>
            </w:pPr>
            <w:r>
              <w:rPr/>
              <w:t>Incorporated by reference</w:t>
            </w:r>
          </w:p>
        </w:tc>
      </w:tr>
      <w:tr>
        <w:trPr/>
        <w:tc>
          <w:tcPr>
            <w:tcW w:w="481" w:type="dxa"/>
            <w:tcBorders/>
            <w:vAlign w:val="center"/>
          </w:tcPr>
          <w:p>
            <w:pPr>
              <w:pStyle w:val="TableContents"/>
              <w:bidi w:val="0"/>
              <w:spacing w:before="0" w:after="283"/>
              <w:jc w:val="left"/>
              <w:rPr/>
            </w:pPr>
            <w:r>
              <w:rPr/>
              <w:t>3.1</w:t>
            </w:r>
          </w:p>
        </w:tc>
        <w:tc>
          <w:tcPr>
            <w:tcW w:w="60" w:type="dxa"/>
            <w:tcBorders/>
            <w:vAlign w:val="center"/>
          </w:tcPr>
          <w:p>
            <w:pPr>
              <w:pStyle w:val="TableContents"/>
              <w:bidi w:val="0"/>
              <w:spacing w:before="0" w:after="283"/>
              <w:jc w:val="left"/>
              <w:rPr/>
            </w:pPr>
            <w:r>
              <w:rPr/>
              <w:t> </w:t>
            </w:r>
          </w:p>
        </w:tc>
        <w:tc>
          <w:tcPr>
            <w:tcW w:w="7933" w:type="dxa"/>
            <w:tcBorders/>
            <w:vAlign w:val="center"/>
          </w:tcPr>
          <w:p>
            <w:pPr>
              <w:pStyle w:val="TableContents"/>
              <w:bidi w:val="0"/>
              <w:spacing w:before="0" w:after="283"/>
              <w:jc w:val="left"/>
              <w:rPr/>
            </w:pPr>
            <w:hyperlink r:id="rId2">
              <w:r>
                <w:rPr>
                  <w:rStyle w:val="InternetLink"/>
                </w:rPr>
                <w:t>Amended and Restated Certificate of Incorporation of CID Holdco, Inc. (incorporated by reference to Exhibit 3.1 of CID Holdco, Inc.’s Current Report on Form 8-K, filed with the SEC on June 26, 2025.)</w:t>
              </w:r>
            </w:hyperlink>
          </w:p>
        </w:tc>
        <w:tc>
          <w:tcPr>
            <w:tcW w:w="60"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left"/>
              <w:rPr/>
            </w:pPr>
            <w:r>
              <w:rPr/>
              <w:t>Incorporated by reference</w:t>
            </w:r>
          </w:p>
        </w:tc>
      </w:tr>
      <w:tr>
        <w:trPr/>
        <w:tc>
          <w:tcPr>
            <w:tcW w:w="481" w:type="dxa"/>
            <w:tcBorders/>
            <w:shd w:fill="CCEEFF" w:val="clear"/>
            <w:vAlign w:val="center"/>
          </w:tcPr>
          <w:p>
            <w:pPr>
              <w:pStyle w:val="TableContents"/>
              <w:bidi w:val="0"/>
              <w:spacing w:before="0" w:after="283"/>
              <w:jc w:val="left"/>
              <w:rPr/>
            </w:pPr>
            <w:r>
              <w:rPr/>
              <w:t>3.2</w:t>
            </w:r>
          </w:p>
        </w:tc>
        <w:tc>
          <w:tcPr>
            <w:tcW w:w="60" w:type="dxa"/>
            <w:tcBorders/>
            <w:shd w:fill="CCEEFF" w:val="clear"/>
            <w:vAlign w:val="center"/>
          </w:tcPr>
          <w:p>
            <w:pPr>
              <w:pStyle w:val="TableContents"/>
              <w:bidi w:val="0"/>
              <w:spacing w:before="0" w:after="283"/>
              <w:jc w:val="left"/>
              <w:rPr/>
            </w:pPr>
            <w:r>
              <w:rPr/>
              <w:t> </w:t>
            </w:r>
          </w:p>
        </w:tc>
        <w:tc>
          <w:tcPr>
            <w:tcW w:w="7933" w:type="dxa"/>
            <w:tcBorders/>
            <w:shd w:fill="CCEEFF" w:val="clear"/>
            <w:vAlign w:val="center"/>
          </w:tcPr>
          <w:p>
            <w:pPr>
              <w:pStyle w:val="TableContents"/>
              <w:bidi w:val="0"/>
              <w:spacing w:before="0" w:after="283"/>
              <w:jc w:val="left"/>
              <w:rPr/>
            </w:pPr>
            <w:hyperlink r:id="rId3">
              <w:r>
                <w:rPr>
                  <w:rStyle w:val="InternetLink"/>
                </w:rPr>
                <w:t>Certificate of Amendment of the Fifth Amended and Restated Certificate of Incorporation of the Company, filed on May 27, 2026 (incorporated by reference to Exhibit 3.1 of CID Holdco, Inc.’s Current Report on Form 8-K, filed with the SEC on May 28, 2026.)</w:t>
              </w:r>
            </w:hyperlink>
          </w:p>
        </w:tc>
        <w:tc>
          <w:tcPr>
            <w:tcW w:w="6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left"/>
              <w:rPr/>
            </w:pPr>
            <w:r>
              <w:rPr/>
              <w:t> </w:t>
            </w:r>
          </w:p>
        </w:tc>
      </w:tr>
      <w:tr>
        <w:trPr/>
        <w:tc>
          <w:tcPr>
            <w:tcW w:w="481" w:type="dxa"/>
            <w:tcBorders/>
            <w:vAlign w:val="center"/>
          </w:tcPr>
          <w:p>
            <w:pPr>
              <w:pStyle w:val="TableContents"/>
              <w:bidi w:val="0"/>
              <w:spacing w:before="0" w:after="283"/>
              <w:jc w:val="left"/>
              <w:rPr/>
            </w:pPr>
            <w:r>
              <w:rPr/>
              <w:t>3.2</w:t>
            </w:r>
          </w:p>
        </w:tc>
        <w:tc>
          <w:tcPr>
            <w:tcW w:w="60" w:type="dxa"/>
            <w:tcBorders/>
            <w:vAlign w:val="center"/>
          </w:tcPr>
          <w:p>
            <w:pPr>
              <w:pStyle w:val="TableContents"/>
              <w:bidi w:val="0"/>
              <w:spacing w:before="0" w:after="283"/>
              <w:jc w:val="left"/>
              <w:rPr/>
            </w:pPr>
            <w:r>
              <w:rPr/>
              <w:t> </w:t>
            </w:r>
          </w:p>
        </w:tc>
        <w:tc>
          <w:tcPr>
            <w:tcW w:w="7933" w:type="dxa"/>
            <w:tcBorders/>
            <w:vAlign w:val="center"/>
          </w:tcPr>
          <w:p>
            <w:pPr>
              <w:pStyle w:val="TableContents"/>
              <w:bidi w:val="0"/>
              <w:spacing w:before="0" w:after="283"/>
              <w:jc w:val="left"/>
              <w:rPr/>
            </w:pPr>
            <w:hyperlink r:id="rId4">
              <w:r>
                <w:rPr>
                  <w:rStyle w:val="InternetLink"/>
                </w:rPr>
                <w:t>Bylaws of CID Holdco, Inc. (incorporated by reference to Exhibit 3.2 of CID Holdco, Inc.’s Current Report on Form 8-K, filed with the SEC on June 26, 2025.)</w:t>
              </w:r>
            </w:hyperlink>
          </w:p>
        </w:tc>
        <w:tc>
          <w:tcPr>
            <w:tcW w:w="60"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left"/>
              <w:rPr/>
            </w:pPr>
            <w:r>
              <w:rPr/>
              <w:t>Incorporated by reference</w:t>
            </w:r>
          </w:p>
        </w:tc>
      </w:tr>
      <w:tr>
        <w:trPr/>
        <w:tc>
          <w:tcPr>
            <w:tcW w:w="481" w:type="dxa"/>
            <w:tcBorders/>
            <w:shd w:fill="CCEEFF" w:val="clear"/>
            <w:vAlign w:val="center"/>
          </w:tcPr>
          <w:p>
            <w:pPr>
              <w:pStyle w:val="TableContents"/>
              <w:bidi w:val="0"/>
              <w:spacing w:before="0" w:after="283"/>
              <w:jc w:val="left"/>
              <w:rPr/>
            </w:pPr>
            <w:r>
              <w:rPr/>
              <w:t>4.1</w:t>
            </w:r>
          </w:p>
        </w:tc>
        <w:tc>
          <w:tcPr>
            <w:tcW w:w="60" w:type="dxa"/>
            <w:tcBorders/>
            <w:shd w:fill="CCEEFF" w:val="clear"/>
            <w:vAlign w:val="center"/>
          </w:tcPr>
          <w:p>
            <w:pPr>
              <w:pStyle w:val="TableContents"/>
              <w:bidi w:val="0"/>
              <w:spacing w:before="0" w:after="283"/>
              <w:jc w:val="left"/>
              <w:rPr/>
            </w:pPr>
            <w:r>
              <w:rPr/>
              <w:t> </w:t>
            </w:r>
          </w:p>
        </w:tc>
        <w:tc>
          <w:tcPr>
            <w:tcW w:w="7933" w:type="dxa"/>
            <w:tcBorders/>
            <w:shd w:fill="CCEEFF" w:val="clear"/>
            <w:vAlign w:val="center"/>
          </w:tcPr>
          <w:p>
            <w:pPr>
              <w:pStyle w:val="TableContents"/>
              <w:bidi w:val="0"/>
              <w:spacing w:before="0" w:after="283"/>
              <w:jc w:val="left"/>
              <w:rPr/>
            </w:pPr>
            <w:hyperlink r:id="rId5">
              <w:r>
                <w:rPr>
                  <w:rStyle w:val="InternetLink"/>
                </w:rPr>
                <w:t>Description of Securities (incorporated by reference to Exhibit 4.1 of CID Holdco’s Inc.’s Annual Report on Form 10-K for the year ended December 31, 2025 filed with the SEC on March 11, 2026)</w:t>
              </w:r>
            </w:hyperlink>
          </w:p>
        </w:tc>
        <w:tc>
          <w:tcPr>
            <w:tcW w:w="6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left"/>
              <w:rPr/>
            </w:pPr>
            <w:r>
              <w:rPr/>
              <w:t xml:space="preserve">Incorporated by reference </w:t>
            </w:r>
          </w:p>
        </w:tc>
      </w:tr>
      <w:tr>
        <w:trPr/>
        <w:tc>
          <w:tcPr>
            <w:tcW w:w="481" w:type="dxa"/>
            <w:tcBorders/>
            <w:vAlign w:val="center"/>
          </w:tcPr>
          <w:p>
            <w:pPr>
              <w:pStyle w:val="TableContents"/>
              <w:bidi w:val="0"/>
              <w:spacing w:before="0" w:after="283"/>
              <w:jc w:val="left"/>
              <w:rPr/>
            </w:pPr>
            <w:r>
              <w:rPr/>
              <w:t>4.2</w:t>
            </w:r>
          </w:p>
        </w:tc>
        <w:tc>
          <w:tcPr>
            <w:tcW w:w="60" w:type="dxa"/>
            <w:tcBorders/>
            <w:vAlign w:val="center"/>
          </w:tcPr>
          <w:p>
            <w:pPr>
              <w:pStyle w:val="TableContents"/>
              <w:bidi w:val="0"/>
              <w:spacing w:before="0" w:after="283"/>
              <w:jc w:val="left"/>
              <w:rPr/>
            </w:pPr>
            <w:r>
              <w:rPr/>
              <w:t> </w:t>
            </w:r>
          </w:p>
        </w:tc>
        <w:tc>
          <w:tcPr>
            <w:tcW w:w="7933" w:type="dxa"/>
            <w:tcBorders/>
            <w:vAlign w:val="center"/>
          </w:tcPr>
          <w:p>
            <w:pPr>
              <w:pStyle w:val="TableContents"/>
              <w:bidi w:val="0"/>
              <w:spacing w:before="0" w:after="283"/>
              <w:jc w:val="left"/>
              <w:rPr/>
            </w:pPr>
            <w:hyperlink r:id="rId6">
              <w:r>
                <w:rPr>
                  <w:rStyle w:val="InternetLink"/>
                </w:rPr>
                <w:t>Specimen Common Stock Certificate (incorporated by reference to Exhibit 4.5 of CID Holdco, Inc.’s Registration Statement on Form S-4, filed with the SEC on January 15, 2025).</w:t>
              </w:r>
            </w:hyperlink>
          </w:p>
        </w:tc>
        <w:tc>
          <w:tcPr>
            <w:tcW w:w="60"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left"/>
              <w:rPr/>
            </w:pPr>
            <w:r>
              <w:rPr/>
              <w:t>Incorporated by reference</w:t>
            </w:r>
          </w:p>
        </w:tc>
      </w:tr>
      <w:tr>
        <w:trPr/>
        <w:tc>
          <w:tcPr>
            <w:tcW w:w="481" w:type="dxa"/>
            <w:tcBorders/>
            <w:shd w:fill="CCEEFF" w:val="clear"/>
            <w:vAlign w:val="center"/>
          </w:tcPr>
          <w:p>
            <w:pPr>
              <w:pStyle w:val="TableContents"/>
              <w:bidi w:val="0"/>
              <w:spacing w:before="0" w:after="283"/>
              <w:jc w:val="left"/>
              <w:rPr/>
            </w:pPr>
            <w:r>
              <w:rPr/>
              <w:t>4.3</w:t>
            </w:r>
          </w:p>
        </w:tc>
        <w:tc>
          <w:tcPr>
            <w:tcW w:w="60" w:type="dxa"/>
            <w:tcBorders/>
            <w:shd w:fill="CCEEFF" w:val="clear"/>
            <w:vAlign w:val="center"/>
          </w:tcPr>
          <w:p>
            <w:pPr>
              <w:pStyle w:val="TableContents"/>
              <w:bidi w:val="0"/>
              <w:spacing w:before="0" w:after="283"/>
              <w:jc w:val="left"/>
              <w:rPr/>
            </w:pPr>
            <w:r>
              <w:rPr/>
              <w:t> </w:t>
            </w:r>
          </w:p>
        </w:tc>
        <w:tc>
          <w:tcPr>
            <w:tcW w:w="7933" w:type="dxa"/>
            <w:tcBorders/>
            <w:shd w:fill="CCEEFF" w:val="clear"/>
            <w:vAlign w:val="center"/>
          </w:tcPr>
          <w:p>
            <w:pPr>
              <w:pStyle w:val="TableContents"/>
              <w:bidi w:val="0"/>
              <w:spacing w:before="0" w:after="283"/>
              <w:jc w:val="left"/>
              <w:rPr/>
            </w:pPr>
            <w:hyperlink r:id="rId7">
              <w:r>
                <w:rPr>
                  <w:rStyle w:val="InternetLink"/>
                </w:rPr>
                <w:t>Specimen Warrant Certificate (incorporated by reference to Exhibit 4.6 of CID Holdco, Inc.’s Registration Statement on Form S-4, filed with the SEC on January 15, 2025).</w:t>
              </w:r>
            </w:hyperlink>
          </w:p>
        </w:tc>
        <w:tc>
          <w:tcPr>
            <w:tcW w:w="6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left"/>
              <w:rPr/>
            </w:pPr>
            <w:r>
              <w:rPr/>
              <w:t>Incorporated by reference</w:t>
            </w:r>
          </w:p>
        </w:tc>
      </w:tr>
      <w:tr>
        <w:trPr/>
        <w:tc>
          <w:tcPr>
            <w:tcW w:w="481" w:type="dxa"/>
            <w:tcBorders/>
            <w:vAlign w:val="center"/>
          </w:tcPr>
          <w:p>
            <w:pPr>
              <w:pStyle w:val="TableContents"/>
              <w:bidi w:val="0"/>
              <w:spacing w:before="0" w:after="283"/>
              <w:jc w:val="left"/>
              <w:rPr/>
            </w:pPr>
            <w:r>
              <w:rPr/>
              <w:t>4.4</w:t>
            </w:r>
          </w:p>
        </w:tc>
        <w:tc>
          <w:tcPr>
            <w:tcW w:w="60" w:type="dxa"/>
            <w:tcBorders/>
            <w:vAlign w:val="center"/>
          </w:tcPr>
          <w:p>
            <w:pPr>
              <w:pStyle w:val="TableContents"/>
              <w:bidi w:val="0"/>
              <w:spacing w:before="0" w:after="283"/>
              <w:jc w:val="left"/>
              <w:rPr/>
            </w:pPr>
            <w:r>
              <w:rPr/>
              <w:t> </w:t>
            </w:r>
          </w:p>
        </w:tc>
        <w:tc>
          <w:tcPr>
            <w:tcW w:w="7933" w:type="dxa"/>
            <w:tcBorders/>
            <w:vAlign w:val="center"/>
          </w:tcPr>
          <w:p>
            <w:pPr>
              <w:pStyle w:val="TableContents"/>
              <w:bidi w:val="0"/>
              <w:spacing w:before="0" w:after="283"/>
              <w:jc w:val="left"/>
              <w:rPr/>
            </w:pPr>
            <w:hyperlink r:id="rId8">
              <w:r>
                <w:rPr>
                  <w:rStyle w:val="InternetLink"/>
                </w:rPr>
                <w:t>Existing Warrant Agreement, dated November 16, 2021, by and between ShoulderUp Technology Acquisition Corp and Continental Stock Transfer &amp; Trust Company, as warrant agent (incorporated by reference to Exhibit 4.4 of CID Holdco, Inc.’s Registration Statement on Form S-4, filed with the SEC on January 15, 2025).</w:t>
              </w:r>
            </w:hyperlink>
          </w:p>
        </w:tc>
        <w:tc>
          <w:tcPr>
            <w:tcW w:w="60"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left"/>
              <w:rPr/>
            </w:pPr>
            <w:r>
              <w:rPr/>
              <w:t>Incorporated by reference</w:t>
            </w:r>
          </w:p>
        </w:tc>
      </w:tr>
      <w:tr>
        <w:trPr/>
        <w:tc>
          <w:tcPr>
            <w:tcW w:w="481" w:type="dxa"/>
            <w:tcBorders/>
            <w:shd w:fill="CCEEFF" w:val="clear"/>
            <w:vAlign w:val="center"/>
          </w:tcPr>
          <w:p>
            <w:pPr>
              <w:pStyle w:val="TableContents"/>
              <w:bidi w:val="0"/>
              <w:spacing w:before="0" w:after="283"/>
              <w:jc w:val="left"/>
              <w:rPr/>
            </w:pPr>
            <w:r>
              <w:rPr/>
              <w:t>4.5</w:t>
            </w:r>
          </w:p>
        </w:tc>
        <w:tc>
          <w:tcPr>
            <w:tcW w:w="60" w:type="dxa"/>
            <w:tcBorders/>
            <w:shd w:fill="CCEEFF" w:val="clear"/>
            <w:vAlign w:val="center"/>
          </w:tcPr>
          <w:p>
            <w:pPr>
              <w:pStyle w:val="TableContents"/>
              <w:bidi w:val="0"/>
              <w:spacing w:before="0" w:after="283"/>
              <w:jc w:val="left"/>
              <w:rPr/>
            </w:pPr>
            <w:r>
              <w:rPr/>
              <w:t> </w:t>
            </w:r>
          </w:p>
        </w:tc>
        <w:tc>
          <w:tcPr>
            <w:tcW w:w="7933" w:type="dxa"/>
            <w:tcBorders/>
            <w:shd w:fill="CCEEFF" w:val="clear"/>
            <w:vAlign w:val="center"/>
          </w:tcPr>
          <w:p>
            <w:pPr>
              <w:pStyle w:val="TableContents"/>
              <w:bidi w:val="0"/>
              <w:spacing w:before="0" w:after="283"/>
              <w:jc w:val="left"/>
              <w:rPr/>
            </w:pPr>
            <w:hyperlink r:id="rId9">
              <w:r>
                <w:rPr>
                  <w:rStyle w:val="InternetLink"/>
                </w:rPr>
                <w:t>Warrant Assumption and Assignment Agreement, dated as of June 18, 2025. (incorporated by reference to Exhibit 4.4 of CID Holdco, Inc.’s Current Report on Form 8-K, filed with the SEC on June 26, 2025).</w:t>
              </w:r>
            </w:hyperlink>
          </w:p>
        </w:tc>
        <w:tc>
          <w:tcPr>
            <w:tcW w:w="6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left"/>
              <w:rPr/>
            </w:pPr>
            <w:r>
              <w:rPr/>
              <w:t>Incorporated by reference</w:t>
            </w:r>
          </w:p>
        </w:tc>
      </w:tr>
      <w:tr>
        <w:trPr/>
        <w:tc>
          <w:tcPr>
            <w:tcW w:w="481" w:type="dxa"/>
            <w:tcBorders/>
            <w:vAlign w:val="center"/>
          </w:tcPr>
          <w:p>
            <w:pPr>
              <w:pStyle w:val="TableContents"/>
              <w:bidi w:val="0"/>
              <w:spacing w:before="0" w:after="283"/>
              <w:jc w:val="left"/>
              <w:rPr/>
            </w:pPr>
            <w:r>
              <w:rPr/>
              <w:t>10.1</w:t>
            </w:r>
          </w:p>
        </w:tc>
        <w:tc>
          <w:tcPr>
            <w:tcW w:w="60" w:type="dxa"/>
            <w:tcBorders/>
            <w:vAlign w:val="center"/>
          </w:tcPr>
          <w:p>
            <w:pPr>
              <w:pStyle w:val="TableContents"/>
              <w:bidi w:val="0"/>
              <w:spacing w:before="0" w:after="283"/>
              <w:jc w:val="left"/>
              <w:rPr/>
            </w:pPr>
            <w:r>
              <w:rPr/>
              <w:t> </w:t>
            </w:r>
          </w:p>
        </w:tc>
        <w:tc>
          <w:tcPr>
            <w:tcW w:w="7933" w:type="dxa"/>
            <w:tcBorders/>
            <w:vAlign w:val="center"/>
          </w:tcPr>
          <w:p>
            <w:pPr>
              <w:pStyle w:val="TableContents"/>
              <w:bidi w:val="0"/>
              <w:spacing w:before="0" w:after="283"/>
              <w:jc w:val="left"/>
              <w:rPr/>
            </w:pPr>
            <w:hyperlink r:id="rId10">
              <w:r>
                <w:rPr>
                  <w:rStyle w:val="InternetLink"/>
                </w:rPr>
                <w:t>Form of PIPE Subscription Agreement (incorporated by reference to Exhibit 10.8 of CID Holdco, Inc.’s Current Report on Form 8-K, filed with the SEC on June 26, 2025).</w:t>
              </w:r>
            </w:hyperlink>
          </w:p>
        </w:tc>
        <w:tc>
          <w:tcPr>
            <w:tcW w:w="60"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left"/>
              <w:rPr/>
            </w:pPr>
            <w:r>
              <w:rPr/>
              <w:t>Incorporated by reference</w:t>
            </w:r>
          </w:p>
        </w:tc>
      </w:tr>
      <w:tr>
        <w:trPr/>
        <w:tc>
          <w:tcPr>
            <w:tcW w:w="481" w:type="dxa"/>
            <w:tcBorders/>
            <w:shd w:fill="CCEEFF" w:val="clear"/>
            <w:vAlign w:val="center"/>
          </w:tcPr>
          <w:p>
            <w:pPr>
              <w:pStyle w:val="TableContents"/>
              <w:bidi w:val="0"/>
              <w:spacing w:before="0" w:after="283"/>
              <w:jc w:val="left"/>
              <w:rPr/>
            </w:pPr>
            <w:r>
              <w:rPr/>
              <w:t>10.2*</w:t>
            </w:r>
          </w:p>
        </w:tc>
        <w:tc>
          <w:tcPr>
            <w:tcW w:w="60" w:type="dxa"/>
            <w:tcBorders/>
            <w:shd w:fill="CCEEFF" w:val="clear"/>
            <w:vAlign w:val="center"/>
          </w:tcPr>
          <w:p>
            <w:pPr>
              <w:pStyle w:val="TableContents"/>
              <w:bidi w:val="0"/>
              <w:spacing w:before="0" w:after="283"/>
              <w:jc w:val="left"/>
              <w:rPr/>
            </w:pPr>
            <w:r>
              <w:rPr/>
              <w:t> </w:t>
            </w:r>
          </w:p>
        </w:tc>
        <w:tc>
          <w:tcPr>
            <w:tcW w:w="7933" w:type="dxa"/>
            <w:tcBorders/>
            <w:shd w:fill="CCEEFF" w:val="clear"/>
            <w:vAlign w:val="center"/>
          </w:tcPr>
          <w:p>
            <w:pPr>
              <w:pStyle w:val="TableContents"/>
              <w:bidi w:val="0"/>
              <w:spacing w:before="0" w:after="283"/>
              <w:jc w:val="left"/>
              <w:rPr/>
            </w:pPr>
            <w:hyperlink r:id="rId11">
              <w:r>
                <w:rPr>
                  <w:rStyle w:val="InternetLink"/>
                </w:rPr>
                <w:t>Registration Rights and Lock-up Agreement by and among CID Holdco, Inc., and certain parties listed therein, dated as of June 18, 2025 (incorporated by reference to Exhibit 10.10 of CID Holdco, Inc.’s Current Report on Form 8-K, filed with the SEC on June 26, 2025).</w:t>
              </w:r>
            </w:hyperlink>
          </w:p>
        </w:tc>
        <w:tc>
          <w:tcPr>
            <w:tcW w:w="6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left"/>
              <w:rPr/>
            </w:pPr>
            <w:r>
              <w:rPr/>
              <w:t>Incorporated by reference</w:t>
            </w:r>
          </w:p>
        </w:tc>
      </w:tr>
      <w:tr>
        <w:trPr/>
        <w:tc>
          <w:tcPr>
            <w:tcW w:w="481" w:type="dxa"/>
            <w:tcBorders/>
            <w:vAlign w:val="center"/>
          </w:tcPr>
          <w:p>
            <w:pPr>
              <w:pStyle w:val="TableContents"/>
              <w:bidi w:val="0"/>
              <w:spacing w:before="0" w:after="283"/>
              <w:jc w:val="left"/>
              <w:rPr/>
            </w:pPr>
            <w:r>
              <w:rPr/>
              <w:t>10.3*</w:t>
            </w:r>
          </w:p>
        </w:tc>
        <w:tc>
          <w:tcPr>
            <w:tcW w:w="60" w:type="dxa"/>
            <w:tcBorders/>
            <w:vAlign w:val="center"/>
          </w:tcPr>
          <w:p>
            <w:pPr>
              <w:pStyle w:val="TableContents"/>
              <w:bidi w:val="0"/>
              <w:spacing w:before="0" w:after="283"/>
              <w:jc w:val="left"/>
              <w:rPr/>
            </w:pPr>
            <w:r>
              <w:rPr/>
              <w:t> </w:t>
            </w:r>
          </w:p>
        </w:tc>
        <w:tc>
          <w:tcPr>
            <w:tcW w:w="7933" w:type="dxa"/>
            <w:tcBorders/>
            <w:vAlign w:val="center"/>
          </w:tcPr>
          <w:p>
            <w:pPr>
              <w:pStyle w:val="TableContents"/>
              <w:bidi w:val="0"/>
              <w:spacing w:before="0" w:after="283"/>
              <w:jc w:val="left"/>
              <w:rPr/>
            </w:pPr>
            <w:hyperlink w:anchor="ea030650101ex10-3.htm">
              <w:r>
                <w:rPr>
                  <w:rStyle w:val="InternetLink"/>
                </w:rPr>
                <w:t>Amendment to the CID HoldCo Inc. 2024 Equity Incentive Plan</w:t>
              </w:r>
            </w:hyperlink>
          </w:p>
        </w:tc>
        <w:tc>
          <w:tcPr>
            <w:tcW w:w="60"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left"/>
              <w:rPr/>
            </w:pPr>
            <w:r>
              <w:rPr/>
              <w:t>Filed herewith</w:t>
            </w:r>
          </w:p>
        </w:tc>
      </w:tr>
      <w:tr>
        <w:trPr/>
        <w:tc>
          <w:tcPr>
            <w:tcW w:w="481" w:type="dxa"/>
            <w:tcBorders/>
            <w:shd w:fill="CCEEFF" w:val="clear"/>
            <w:vAlign w:val="center"/>
          </w:tcPr>
          <w:p>
            <w:pPr>
              <w:pStyle w:val="TableContents"/>
              <w:bidi w:val="0"/>
              <w:spacing w:before="0" w:after="283"/>
              <w:jc w:val="left"/>
              <w:rPr/>
            </w:pPr>
            <w:r>
              <w:rPr/>
              <w:t>10.4*</w:t>
            </w:r>
          </w:p>
        </w:tc>
        <w:tc>
          <w:tcPr>
            <w:tcW w:w="60" w:type="dxa"/>
            <w:tcBorders/>
            <w:shd w:fill="CCEEFF" w:val="clear"/>
            <w:vAlign w:val="center"/>
          </w:tcPr>
          <w:p>
            <w:pPr>
              <w:pStyle w:val="TableContents"/>
              <w:bidi w:val="0"/>
              <w:spacing w:before="0" w:after="283"/>
              <w:jc w:val="left"/>
              <w:rPr/>
            </w:pPr>
            <w:r>
              <w:rPr/>
              <w:t> </w:t>
            </w:r>
          </w:p>
        </w:tc>
        <w:tc>
          <w:tcPr>
            <w:tcW w:w="7933" w:type="dxa"/>
            <w:tcBorders/>
            <w:shd w:fill="CCEEFF" w:val="clear"/>
            <w:vAlign w:val="center"/>
          </w:tcPr>
          <w:p>
            <w:pPr>
              <w:pStyle w:val="TableContents"/>
              <w:bidi w:val="0"/>
              <w:spacing w:before="0" w:after="283"/>
              <w:jc w:val="left"/>
              <w:rPr/>
            </w:pPr>
            <w:hyperlink w:anchor="ea030650101ex10-4.htm">
              <w:r>
                <w:rPr>
                  <w:rStyle w:val="InternetLink"/>
                </w:rPr>
                <w:t>Note Purchase Agreement, dated as of June 23, 2026 between CID HoldCo, Inc., and SEE ID, Inc., and DOT Works, Inc. and Phillips Equities &amp; Trust, LLC.</w:t>
              </w:r>
            </w:hyperlink>
          </w:p>
        </w:tc>
        <w:tc>
          <w:tcPr>
            <w:tcW w:w="6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left"/>
              <w:rPr/>
            </w:pPr>
            <w:r>
              <w:rPr/>
              <w:t>Filed herewith</w:t>
            </w:r>
          </w:p>
        </w:tc>
      </w:tr>
      <w:tr>
        <w:trPr/>
        <w:tc>
          <w:tcPr>
            <w:tcW w:w="481" w:type="dxa"/>
            <w:tcBorders/>
            <w:vAlign w:val="center"/>
          </w:tcPr>
          <w:p>
            <w:pPr>
              <w:pStyle w:val="TableContents"/>
              <w:bidi w:val="0"/>
              <w:spacing w:before="0" w:after="283"/>
              <w:jc w:val="left"/>
              <w:rPr/>
            </w:pPr>
            <w:r>
              <w:rPr/>
              <w:t>10.5*</w:t>
            </w:r>
          </w:p>
        </w:tc>
        <w:tc>
          <w:tcPr>
            <w:tcW w:w="60" w:type="dxa"/>
            <w:tcBorders/>
            <w:vAlign w:val="center"/>
          </w:tcPr>
          <w:p>
            <w:pPr>
              <w:pStyle w:val="TableContents"/>
              <w:bidi w:val="0"/>
              <w:spacing w:before="0" w:after="283"/>
              <w:jc w:val="left"/>
              <w:rPr/>
            </w:pPr>
            <w:r>
              <w:rPr/>
              <w:t> </w:t>
            </w:r>
          </w:p>
        </w:tc>
        <w:tc>
          <w:tcPr>
            <w:tcW w:w="7933" w:type="dxa"/>
            <w:tcBorders/>
            <w:vAlign w:val="center"/>
          </w:tcPr>
          <w:p>
            <w:pPr>
              <w:pStyle w:val="TableContents"/>
              <w:bidi w:val="0"/>
              <w:spacing w:before="0" w:after="283"/>
              <w:jc w:val="left"/>
              <w:rPr/>
            </w:pPr>
            <w:hyperlink w:anchor="ea030650101ex10-5.htm">
              <w:r>
                <w:rPr>
                  <w:rStyle w:val="InternetLink"/>
                </w:rPr>
                <w:t>Junior Secured Convertible Promissory Note, dated June 26, 2026 issued to Phillips Equities &amp; Trust, LLC</w:t>
              </w:r>
            </w:hyperlink>
          </w:p>
        </w:tc>
        <w:tc>
          <w:tcPr>
            <w:tcW w:w="60"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left"/>
              <w:rPr/>
            </w:pPr>
            <w:r>
              <w:rPr/>
              <w:t>Filed herewith</w:t>
            </w:r>
          </w:p>
        </w:tc>
      </w:tr>
      <w:tr>
        <w:trPr/>
        <w:tc>
          <w:tcPr>
            <w:tcW w:w="481" w:type="dxa"/>
            <w:tcBorders/>
            <w:shd w:fill="CCEEFF" w:val="clear"/>
            <w:vAlign w:val="center"/>
          </w:tcPr>
          <w:p>
            <w:pPr>
              <w:pStyle w:val="TableContents"/>
              <w:bidi w:val="0"/>
              <w:spacing w:before="0" w:after="283"/>
              <w:jc w:val="left"/>
              <w:rPr/>
            </w:pPr>
            <w:r>
              <w:rPr/>
              <w:t>10.6*</w:t>
            </w:r>
          </w:p>
        </w:tc>
        <w:tc>
          <w:tcPr>
            <w:tcW w:w="60" w:type="dxa"/>
            <w:tcBorders/>
            <w:shd w:fill="CCEEFF" w:val="clear"/>
            <w:vAlign w:val="center"/>
          </w:tcPr>
          <w:p>
            <w:pPr>
              <w:pStyle w:val="TableContents"/>
              <w:bidi w:val="0"/>
              <w:spacing w:before="0" w:after="283"/>
              <w:jc w:val="left"/>
              <w:rPr/>
            </w:pPr>
            <w:r>
              <w:rPr/>
              <w:t> </w:t>
            </w:r>
          </w:p>
        </w:tc>
        <w:tc>
          <w:tcPr>
            <w:tcW w:w="7933" w:type="dxa"/>
            <w:tcBorders/>
            <w:shd w:fill="CCEEFF" w:val="clear"/>
            <w:vAlign w:val="center"/>
          </w:tcPr>
          <w:p>
            <w:pPr>
              <w:pStyle w:val="TableContents"/>
              <w:bidi w:val="0"/>
              <w:spacing w:before="0" w:after="283"/>
              <w:jc w:val="left"/>
              <w:rPr/>
            </w:pPr>
            <w:hyperlink w:anchor="ea030650101ex10-6.htm">
              <w:r>
                <w:rPr>
                  <w:rStyle w:val="InternetLink"/>
                </w:rPr>
                <w:t>Registration Rights Agreement dated June 26, 2026 between CID HoldCo, Inc. and Phillips Equities &amp; Trust, LLC</w:t>
              </w:r>
            </w:hyperlink>
          </w:p>
        </w:tc>
        <w:tc>
          <w:tcPr>
            <w:tcW w:w="6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left"/>
              <w:rPr/>
            </w:pPr>
            <w:r>
              <w:rPr/>
              <w:t>Filed herewith</w:t>
            </w:r>
          </w:p>
        </w:tc>
      </w:tr>
      <w:tr>
        <w:trPr/>
        <w:tc>
          <w:tcPr>
            <w:tcW w:w="481" w:type="dxa"/>
            <w:tcBorders/>
            <w:vAlign w:val="center"/>
          </w:tcPr>
          <w:p>
            <w:pPr>
              <w:pStyle w:val="TableContents"/>
              <w:bidi w:val="0"/>
              <w:spacing w:before="0" w:after="283"/>
              <w:jc w:val="left"/>
              <w:rPr/>
            </w:pPr>
            <w:r>
              <w:rPr/>
              <w:t>10.7</w:t>
            </w:r>
          </w:p>
        </w:tc>
        <w:tc>
          <w:tcPr>
            <w:tcW w:w="60" w:type="dxa"/>
            <w:tcBorders/>
            <w:vAlign w:val="center"/>
          </w:tcPr>
          <w:p>
            <w:pPr>
              <w:pStyle w:val="TableContents"/>
              <w:bidi w:val="0"/>
              <w:spacing w:before="0" w:after="283"/>
              <w:jc w:val="left"/>
              <w:rPr/>
            </w:pPr>
            <w:r>
              <w:rPr/>
              <w:t> </w:t>
            </w:r>
          </w:p>
        </w:tc>
        <w:tc>
          <w:tcPr>
            <w:tcW w:w="7933" w:type="dxa"/>
            <w:tcBorders/>
            <w:vAlign w:val="center"/>
          </w:tcPr>
          <w:p>
            <w:pPr>
              <w:pStyle w:val="TableContents"/>
              <w:bidi w:val="0"/>
              <w:spacing w:before="0" w:after="283"/>
              <w:jc w:val="left"/>
              <w:rPr/>
            </w:pPr>
            <w:hyperlink r:id="rId12">
              <w:r>
                <w:rPr>
                  <w:rStyle w:val="InternetLink"/>
                </w:rPr>
                <w:t>Binding Summary of Principal Terms, dated September 14, 2026, by and among CID HoldCo, Inc., BladeRanger Ltd. and Envoy Technologies, Inc. (incorporated by reference to Exhibit 10.1 of CID Holdco, Inc.’s Current Report on Form 8-K, filed with the SEC on September 16, 2026).</w:t>
              </w:r>
            </w:hyperlink>
          </w:p>
        </w:tc>
        <w:tc>
          <w:tcPr>
            <w:tcW w:w="60"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left"/>
              <w:rPr/>
            </w:pPr>
            <w:r>
              <w:rPr/>
              <w:t>Incorporated by reference</w:t>
            </w:r>
          </w:p>
        </w:tc>
      </w:tr>
      <w:tr>
        <w:trPr/>
        <w:tc>
          <w:tcPr>
            <w:tcW w:w="481" w:type="dxa"/>
            <w:tcBorders/>
            <w:shd w:fill="CCEEFF" w:val="clear"/>
            <w:vAlign w:val="center"/>
          </w:tcPr>
          <w:p>
            <w:pPr>
              <w:pStyle w:val="TableContents"/>
              <w:bidi w:val="0"/>
              <w:spacing w:before="0" w:after="283"/>
              <w:jc w:val="left"/>
              <w:rPr/>
            </w:pPr>
            <w:r>
              <w:rPr/>
              <w:t>10.8</w:t>
            </w:r>
          </w:p>
        </w:tc>
        <w:tc>
          <w:tcPr>
            <w:tcW w:w="60" w:type="dxa"/>
            <w:tcBorders/>
            <w:shd w:fill="CCEEFF" w:val="clear"/>
            <w:vAlign w:val="center"/>
          </w:tcPr>
          <w:p>
            <w:pPr>
              <w:pStyle w:val="TableContents"/>
              <w:bidi w:val="0"/>
              <w:spacing w:before="0" w:after="283"/>
              <w:jc w:val="left"/>
              <w:rPr/>
            </w:pPr>
            <w:r>
              <w:rPr/>
              <w:t> </w:t>
            </w:r>
          </w:p>
        </w:tc>
        <w:tc>
          <w:tcPr>
            <w:tcW w:w="7933" w:type="dxa"/>
            <w:tcBorders/>
            <w:shd w:fill="CCEEFF" w:val="clear"/>
            <w:vAlign w:val="center"/>
          </w:tcPr>
          <w:p>
            <w:pPr>
              <w:pStyle w:val="TableContents"/>
              <w:bidi w:val="0"/>
              <w:spacing w:before="0" w:after="283"/>
              <w:jc w:val="left"/>
              <w:rPr/>
            </w:pPr>
            <w:hyperlink r:id="rId13">
              <w:r>
                <w:rPr>
                  <w:rStyle w:val="InternetLink"/>
                </w:rPr>
                <w:t>Convertible Promissory Note, dated September 10, 2026, issued by CID HoldCo, Inc. to H Capital Ventures Management Consultancies Co. LLC. (incorporated by reference to Exhibit 10.2 of CID Holdco, Inc.’s Current Report on Form 8-K, filed with the SEC on September 16, 2026)</w:t>
              </w:r>
            </w:hyperlink>
          </w:p>
        </w:tc>
        <w:tc>
          <w:tcPr>
            <w:tcW w:w="6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left"/>
              <w:rPr/>
            </w:pPr>
            <w:r>
              <w:rPr/>
              <w:t>Incorporated by reference</w:t>
            </w:r>
          </w:p>
        </w:tc>
      </w:tr>
      <w:tr>
        <w:trPr/>
        <w:tc>
          <w:tcPr>
            <w:tcW w:w="481" w:type="dxa"/>
            <w:tcBorders/>
            <w:vAlign w:val="center"/>
          </w:tcPr>
          <w:p>
            <w:pPr>
              <w:pStyle w:val="TableContents"/>
              <w:bidi w:val="0"/>
              <w:spacing w:before="0" w:after="283"/>
              <w:jc w:val="left"/>
              <w:rPr/>
            </w:pPr>
            <w:r>
              <w:rPr/>
              <w:t>10.9+</w:t>
            </w:r>
          </w:p>
        </w:tc>
        <w:tc>
          <w:tcPr>
            <w:tcW w:w="60" w:type="dxa"/>
            <w:tcBorders/>
            <w:vAlign w:val="center"/>
          </w:tcPr>
          <w:p>
            <w:pPr>
              <w:pStyle w:val="TableContents"/>
              <w:bidi w:val="0"/>
              <w:spacing w:before="0" w:after="283"/>
              <w:jc w:val="left"/>
              <w:rPr/>
            </w:pPr>
            <w:r>
              <w:rPr/>
              <w:t> </w:t>
            </w:r>
          </w:p>
        </w:tc>
        <w:tc>
          <w:tcPr>
            <w:tcW w:w="7933" w:type="dxa"/>
            <w:tcBorders/>
            <w:vAlign w:val="center"/>
          </w:tcPr>
          <w:p>
            <w:pPr>
              <w:pStyle w:val="TableContents"/>
              <w:bidi w:val="0"/>
              <w:spacing w:before="0" w:after="283"/>
              <w:jc w:val="left"/>
              <w:rPr/>
            </w:pPr>
            <w:hyperlink r:id="rId14">
              <w:r>
                <w:rPr>
                  <w:rStyle w:val="InternetLink"/>
                </w:rPr>
                <w:t>Settlement Agreement, dated September 15, 2026, by and among LHT I, LLC, CID HoldCo, Inc., See ID, Inc., ShoulderUp Technology Acquisition Corp. and Dot Works, Inc. (incorporated by reference to Exhibit 10.3 of CID Holdco, Inc.’s Current Report on Form 8-K, filed with the SEC on September 16, 2026)</w:t>
              </w:r>
            </w:hyperlink>
          </w:p>
        </w:tc>
        <w:tc>
          <w:tcPr>
            <w:tcW w:w="60"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left"/>
              <w:rPr/>
            </w:pPr>
            <w:r>
              <w:rPr/>
              <w:t>Incorporated by reference</w:t>
            </w:r>
          </w:p>
        </w:tc>
      </w:tr>
      <w:tr>
        <w:trPr/>
        <w:tc>
          <w:tcPr>
            <w:tcW w:w="481" w:type="dxa"/>
            <w:tcBorders/>
            <w:shd w:fill="CCEEFF" w:val="clear"/>
            <w:vAlign w:val="center"/>
          </w:tcPr>
          <w:p>
            <w:pPr>
              <w:pStyle w:val="TableContents"/>
              <w:bidi w:val="0"/>
              <w:spacing w:before="0" w:after="283"/>
              <w:jc w:val="left"/>
              <w:rPr/>
            </w:pPr>
            <w:r>
              <w:rPr/>
              <w:t>31.1*</w:t>
            </w:r>
          </w:p>
        </w:tc>
        <w:tc>
          <w:tcPr>
            <w:tcW w:w="60" w:type="dxa"/>
            <w:tcBorders/>
            <w:shd w:fill="CCEEFF" w:val="clear"/>
            <w:vAlign w:val="center"/>
          </w:tcPr>
          <w:p>
            <w:pPr>
              <w:pStyle w:val="TableContents"/>
              <w:bidi w:val="0"/>
              <w:spacing w:before="0" w:after="283"/>
              <w:jc w:val="left"/>
              <w:rPr/>
            </w:pPr>
            <w:r>
              <w:rPr/>
              <w:t> </w:t>
            </w:r>
          </w:p>
        </w:tc>
        <w:tc>
          <w:tcPr>
            <w:tcW w:w="7933" w:type="dxa"/>
            <w:tcBorders/>
            <w:shd w:fill="CCEEFF" w:val="clear"/>
            <w:vAlign w:val="center"/>
          </w:tcPr>
          <w:p>
            <w:pPr>
              <w:pStyle w:val="TableContents"/>
              <w:bidi w:val="0"/>
              <w:spacing w:before="0" w:after="283"/>
              <w:jc w:val="left"/>
              <w:rPr/>
            </w:pPr>
            <w:hyperlink w:anchor="ea030650101ex31-1.htm">
              <w:r>
                <w:rPr>
                  <w:rStyle w:val="InternetLink"/>
                </w:rPr>
                <w:t>Certification of Principal Executive Officer Pursuant to Securities Exchange Act Rules 13a-14(a), as adopted Pursuant to Section 302 of the Sarbanes-Oxley Act of 2002</w:t>
              </w:r>
            </w:hyperlink>
          </w:p>
        </w:tc>
        <w:tc>
          <w:tcPr>
            <w:tcW w:w="6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left"/>
              <w:rPr/>
            </w:pPr>
            <w:r>
              <w:rPr/>
              <w:t>Filed herewith.</w:t>
            </w:r>
          </w:p>
        </w:tc>
      </w:tr>
      <w:tr>
        <w:trPr/>
        <w:tc>
          <w:tcPr>
            <w:tcW w:w="481" w:type="dxa"/>
            <w:tcBorders/>
            <w:vAlign w:val="center"/>
          </w:tcPr>
          <w:p>
            <w:pPr>
              <w:pStyle w:val="TableContents"/>
              <w:bidi w:val="0"/>
              <w:spacing w:before="0" w:after="283"/>
              <w:jc w:val="left"/>
              <w:rPr/>
            </w:pPr>
            <w:r>
              <w:rPr/>
              <w:t>31.2*</w:t>
            </w:r>
          </w:p>
        </w:tc>
        <w:tc>
          <w:tcPr>
            <w:tcW w:w="60" w:type="dxa"/>
            <w:tcBorders/>
            <w:vAlign w:val="center"/>
          </w:tcPr>
          <w:p>
            <w:pPr>
              <w:pStyle w:val="TableContents"/>
              <w:bidi w:val="0"/>
              <w:spacing w:before="0" w:after="283"/>
              <w:jc w:val="left"/>
              <w:rPr/>
            </w:pPr>
            <w:r>
              <w:rPr/>
              <w:t> </w:t>
            </w:r>
          </w:p>
        </w:tc>
        <w:tc>
          <w:tcPr>
            <w:tcW w:w="7933" w:type="dxa"/>
            <w:tcBorders/>
            <w:vAlign w:val="center"/>
          </w:tcPr>
          <w:p>
            <w:pPr>
              <w:pStyle w:val="TableContents"/>
              <w:bidi w:val="0"/>
              <w:spacing w:before="0" w:after="283"/>
              <w:jc w:val="left"/>
              <w:rPr/>
            </w:pPr>
            <w:hyperlink w:anchor="ea030650101ex31-2.htm">
              <w:r>
                <w:rPr>
                  <w:rStyle w:val="InternetLink"/>
                </w:rPr>
                <w:t>Certification of Principal Financial Officer Pursuant to Securities Exchange Act Rules 13a-14(a), as adopted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left"/>
              <w:rPr/>
            </w:pPr>
            <w:r>
              <w:rPr/>
              <w:t>Filed herewith.</w:t>
            </w:r>
          </w:p>
        </w:tc>
      </w:tr>
      <w:tr>
        <w:trPr/>
        <w:tc>
          <w:tcPr>
            <w:tcW w:w="481" w:type="dxa"/>
            <w:tcBorders/>
            <w:shd w:fill="CCEEFF" w:val="clear"/>
            <w:vAlign w:val="center"/>
          </w:tcPr>
          <w:p>
            <w:pPr>
              <w:pStyle w:val="TableContents"/>
              <w:bidi w:val="0"/>
              <w:spacing w:before="0" w:after="283"/>
              <w:jc w:val="left"/>
              <w:rPr/>
            </w:pPr>
            <w:r>
              <w:rPr/>
              <w:t>32.1*</w:t>
            </w:r>
          </w:p>
        </w:tc>
        <w:tc>
          <w:tcPr>
            <w:tcW w:w="60" w:type="dxa"/>
            <w:tcBorders/>
            <w:shd w:fill="CCEEFF" w:val="clear"/>
            <w:vAlign w:val="center"/>
          </w:tcPr>
          <w:p>
            <w:pPr>
              <w:pStyle w:val="TableContents"/>
              <w:bidi w:val="0"/>
              <w:spacing w:before="0" w:after="283"/>
              <w:jc w:val="left"/>
              <w:rPr/>
            </w:pPr>
            <w:r>
              <w:rPr/>
              <w:t> </w:t>
            </w:r>
          </w:p>
        </w:tc>
        <w:tc>
          <w:tcPr>
            <w:tcW w:w="7933" w:type="dxa"/>
            <w:tcBorders/>
            <w:shd w:fill="CCEEFF" w:val="clear"/>
            <w:vAlign w:val="center"/>
          </w:tcPr>
          <w:p>
            <w:pPr>
              <w:pStyle w:val="TableContents"/>
              <w:bidi w:val="0"/>
              <w:spacing w:before="0" w:after="283"/>
              <w:jc w:val="left"/>
              <w:rPr/>
            </w:pPr>
            <w:hyperlink w:anchor="ea030650101ex32-1.htm">
              <w:r>
                <w:rPr>
                  <w:rStyle w:val="InternetLink"/>
                </w:rPr>
                <w:t>Certification of Principal Executive Officer Pursuant to 18 U.S.C. Section 1350, as adopted Pursuant to Section 906 of the Sarbanes-Oxley Act of 2002</w:t>
              </w:r>
            </w:hyperlink>
          </w:p>
        </w:tc>
        <w:tc>
          <w:tcPr>
            <w:tcW w:w="6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left"/>
              <w:rPr/>
            </w:pPr>
            <w:r>
              <w:rPr/>
              <w:t>Furnished.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83"/>
        <w:gridCol w:w="60"/>
        <w:gridCol w:w="7636"/>
        <w:gridCol w:w="60"/>
        <w:gridCol w:w="1766"/>
      </w:tblGrid>
      <w:tr>
        <w:trPr/>
        <w:tc>
          <w:tcPr>
            <w:tcW w:w="683" w:type="dxa"/>
            <w:tcBorders/>
            <w:shd w:fill="CCEEFF" w:val="clear"/>
            <w:vAlign w:val="center"/>
          </w:tcPr>
          <w:p>
            <w:pPr>
              <w:pStyle w:val="TableContents"/>
              <w:bidi w:val="0"/>
              <w:spacing w:before="0" w:after="283"/>
              <w:jc w:val="left"/>
              <w:rPr/>
            </w:pPr>
            <w:r>
              <w:rPr/>
              <w:t>32.2*</w:t>
            </w:r>
          </w:p>
        </w:tc>
        <w:tc>
          <w:tcPr>
            <w:tcW w:w="60" w:type="dxa"/>
            <w:tcBorders/>
            <w:shd w:fill="CCEEFF" w:val="clear"/>
            <w:vAlign w:val="center"/>
          </w:tcPr>
          <w:p>
            <w:pPr>
              <w:pStyle w:val="TableContents"/>
              <w:bidi w:val="0"/>
              <w:spacing w:before="0" w:after="283"/>
              <w:jc w:val="left"/>
              <w:rPr/>
            </w:pPr>
            <w:r>
              <w:rPr/>
              <w:t> </w:t>
            </w:r>
          </w:p>
        </w:tc>
        <w:tc>
          <w:tcPr>
            <w:tcW w:w="7636" w:type="dxa"/>
            <w:tcBorders/>
            <w:shd w:fill="CCEEFF" w:val="clear"/>
            <w:vAlign w:val="center"/>
          </w:tcPr>
          <w:p>
            <w:pPr>
              <w:pStyle w:val="TableContents"/>
              <w:bidi w:val="0"/>
              <w:spacing w:before="0" w:after="283"/>
              <w:jc w:val="left"/>
              <w:rPr/>
            </w:pPr>
            <w:hyperlink w:anchor="ea030650101ex32-2.htm">
              <w:r>
                <w:rPr>
                  <w:rStyle w:val="InternetLink"/>
                </w:rPr>
                <w:t>Certification of Principal Financial Officer Pursuant to 18 U.S.C. Section 1350, as adopted Pursuant to Section 906 of the Sarbanes-Oxley Act of 2002</w:t>
              </w:r>
            </w:hyperlink>
          </w:p>
        </w:tc>
        <w:tc>
          <w:tcPr>
            <w:tcW w:w="60" w:type="dxa"/>
            <w:tcBorders/>
            <w:shd w:fill="CCEEFF" w:val="clear"/>
            <w:vAlign w:val="center"/>
          </w:tcPr>
          <w:p>
            <w:pPr>
              <w:pStyle w:val="TableContents"/>
              <w:bidi w:val="0"/>
              <w:spacing w:before="0" w:after="283"/>
              <w:jc w:val="left"/>
              <w:rPr/>
            </w:pPr>
            <w:r>
              <w:rPr/>
              <w:t> </w:t>
            </w:r>
          </w:p>
        </w:tc>
        <w:tc>
          <w:tcPr>
            <w:tcW w:w="1766" w:type="dxa"/>
            <w:tcBorders/>
            <w:shd w:fill="CCEEFF" w:val="clear"/>
            <w:vAlign w:val="center"/>
          </w:tcPr>
          <w:p>
            <w:pPr>
              <w:pStyle w:val="TableContents"/>
              <w:bidi w:val="0"/>
              <w:spacing w:before="0" w:after="283"/>
              <w:jc w:val="left"/>
              <w:rPr/>
            </w:pPr>
            <w:r>
              <w:rPr/>
              <w:t>Furnished.</w:t>
            </w:r>
          </w:p>
        </w:tc>
      </w:tr>
      <w:tr>
        <w:trPr/>
        <w:tc>
          <w:tcPr>
            <w:tcW w:w="683" w:type="dxa"/>
            <w:tcBorders/>
            <w:shd w:fill="FFFFFF" w:val="clear"/>
            <w:vAlign w:val="center"/>
          </w:tcPr>
          <w:p>
            <w:pPr>
              <w:pStyle w:val="TableContents"/>
              <w:bidi w:val="0"/>
              <w:spacing w:before="0" w:after="283"/>
              <w:jc w:val="left"/>
              <w:rPr/>
            </w:pPr>
            <w:r>
              <w:rPr/>
              <w:t> </w:t>
            </w:r>
            <w:r>
              <w:rPr/>
              <w:t>97.1</w:t>
            </w:r>
          </w:p>
        </w:tc>
        <w:tc>
          <w:tcPr>
            <w:tcW w:w="60" w:type="dxa"/>
            <w:tcBorders/>
            <w:shd w:fill="FFFFFF" w:val="clear"/>
            <w:vAlign w:val="center"/>
          </w:tcPr>
          <w:p>
            <w:pPr>
              <w:pStyle w:val="TableContents"/>
              <w:bidi w:val="0"/>
              <w:spacing w:before="0" w:after="283"/>
              <w:jc w:val="left"/>
              <w:rPr/>
            </w:pPr>
            <w:r>
              <w:rPr/>
              <w:t> </w:t>
            </w:r>
          </w:p>
        </w:tc>
        <w:tc>
          <w:tcPr>
            <w:tcW w:w="7636" w:type="dxa"/>
            <w:tcBorders/>
            <w:shd w:fill="FFFFFF" w:val="clear"/>
            <w:vAlign w:val="center"/>
          </w:tcPr>
          <w:p>
            <w:pPr>
              <w:pStyle w:val="TableContents"/>
              <w:bidi w:val="0"/>
              <w:spacing w:before="0" w:after="283"/>
              <w:jc w:val="left"/>
              <w:rPr/>
            </w:pPr>
            <w:hyperlink r:id="rId15">
              <w:r>
                <w:rPr>
                  <w:rStyle w:val="InternetLink"/>
                </w:rPr>
                <w:t>Clawback Policy (incorporated by reference to Exhibit 97.1 of CID Holdco’s Inc.’s Annual Report on Form 10-K for the year ended December 31, 2025 filed with the SEC on March 11, 2026)</w:t>
              </w:r>
            </w:hyperlink>
          </w:p>
        </w:tc>
        <w:tc>
          <w:tcPr>
            <w:tcW w:w="60" w:type="dxa"/>
            <w:tcBorders/>
            <w:shd w:fill="FFFFFF" w:val="clear"/>
            <w:vAlign w:val="center"/>
          </w:tcPr>
          <w:p>
            <w:pPr>
              <w:pStyle w:val="TableContents"/>
              <w:bidi w:val="0"/>
              <w:spacing w:before="0" w:after="283"/>
              <w:jc w:val="left"/>
              <w:rPr/>
            </w:pPr>
            <w:r>
              <w:rPr/>
              <w:t> </w:t>
            </w:r>
          </w:p>
        </w:tc>
        <w:tc>
          <w:tcPr>
            <w:tcW w:w="1766" w:type="dxa"/>
            <w:tcBorders/>
            <w:shd w:fill="FFFFFF" w:val="clear"/>
            <w:vAlign w:val="center"/>
          </w:tcPr>
          <w:p>
            <w:pPr>
              <w:pStyle w:val="TableContents"/>
              <w:bidi w:val="0"/>
              <w:spacing w:before="0" w:after="283"/>
              <w:jc w:val="left"/>
              <w:rPr/>
            </w:pPr>
            <w:r>
              <w:rPr/>
              <w:t> </w:t>
            </w:r>
            <w:r>
              <w:rPr/>
              <w:t xml:space="preserve">Incorporated by reference </w:t>
            </w:r>
          </w:p>
        </w:tc>
      </w:tr>
      <w:tr>
        <w:trPr/>
        <w:tc>
          <w:tcPr>
            <w:tcW w:w="683" w:type="dxa"/>
            <w:tcBorders/>
            <w:shd w:fill="CCEEFF" w:val="clear"/>
            <w:vAlign w:val="center"/>
          </w:tcPr>
          <w:p>
            <w:pPr>
              <w:pStyle w:val="TableContents"/>
              <w:bidi w:val="0"/>
              <w:spacing w:before="0" w:after="283"/>
              <w:jc w:val="left"/>
              <w:rPr/>
            </w:pPr>
            <w:r>
              <w:rPr/>
              <w:t>101.INS</w:t>
            </w:r>
          </w:p>
        </w:tc>
        <w:tc>
          <w:tcPr>
            <w:tcW w:w="60" w:type="dxa"/>
            <w:tcBorders/>
            <w:shd w:fill="CCEEFF" w:val="clear"/>
            <w:vAlign w:val="center"/>
          </w:tcPr>
          <w:p>
            <w:pPr>
              <w:pStyle w:val="TableContents"/>
              <w:bidi w:val="0"/>
              <w:spacing w:before="0" w:after="283"/>
              <w:jc w:val="left"/>
              <w:rPr/>
            </w:pPr>
            <w:r>
              <w:rPr/>
              <w:t> </w:t>
            </w:r>
          </w:p>
        </w:tc>
        <w:tc>
          <w:tcPr>
            <w:tcW w:w="9462" w:type="dxa"/>
            <w:gridSpan w:val="3"/>
            <w:tcBorders/>
            <w:shd w:fill="CCEEFF" w:val="clear"/>
            <w:vAlign w:val="center"/>
          </w:tcPr>
          <w:p>
            <w:pPr>
              <w:pStyle w:val="TableContents"/>
              <w:bidi w:val="0"/>
              <w:spacing w:before="0" w:after="283"/>
              <w:jc w:val="left"/>
              <w:rPr/>
            </w:pPr>
            <w:r>
              <w:rPr/>
              <w:t>Inline XBRL Instance Document</w:t>
            </w:r>
          </w:p>
        </w:tc>
      </w:tr>
      <w:tr>
        <w:trPr/>
        <w:tc>
          <w:tcPr>
            <w:tcW w:w="683" w:type="dxa"/>
            <w:tcBorders/>
            <w:shd w:fill="FFFFFF" w:val="clear"/>
            <w:vAlign w:val="center"/>
          </w:tcPr>
          <w:p>
            <w:pPr>
              <w:pStyle w:val="TableContents"/>
              <w:bidi w:val="0"/>
              <w:spacing w:before="0" w:after="283"/>
              <w:jc w:val="left"/>
              <w:rPr/>
            </w:pPr>
            <w:r>
              <w:rPr/>
              <w:t>101.SCH</w:t>
            </w:r>
          </w:p>
        </w:tc>
        <w:tc>
          <w:tcPr>
            <w:tcW w:w="60" w:type="dxa"/>
            <w:tcBorders/>
            <w:shd w:fill="FFFFFF" w:val="clear"/>
            <w:vAlign w:val="center"/>
          </w:tcPr>
          <w:p>
            <w:pPr>
              <w:pStyle w:val="TableContents"/>
              <w:bidi w:val="0"/>
              <w:spacing w:before="0" w:after="283"/>
              <w:jc w:val="left"/>
              <w:rPr/>
            </w:pPr>
            <w:r>
              <w:rPr/>
              <w:t> </w:t>
            </w:r>
          </w:p>
        </w:tc>
        <w:tc>
          <w:tcPr>
            <w:tcW w:w="9462" w:type="dxa"/>
            <w:gridSpan w:val="3"/>
            <w:tcBorders/>
            <w:shd w:fill="FFFFFF" w:val="clear"/>
            <w:vAlign w:val="center"/>
          </w:tcPr>
          <w:p>
            <w:pPr>
              <w:pStyle w:val="TableContents"/>
              <w:bidi w:val="0"/>
              <w:spacing w:before="0" w:after="283"/>
              <w:jc w:val="left"/>
              <w:rPr/>
            </w:pPr>
            <w:r>
              <w:rPr/>
              <w:t>Inline XBRL Taxonomy Extension Schema Document</w:t>
            </w:r>
          </w:p>
        </w:tc>
      </w:tr>
      <w:tr>
        <w:trPr/>
        <w:tc>
          <w:tcPr>
            <w:tcW w:w="683" w:type="dxa"/>
            <w:tcBorders/>
            <w:shd w:fill="CCEEFF" w:val="clear"/>
            <w:vAlign w:val="center"/>
          </w:tcPr>
          <w:p>
            <w:pPr>
              <w:pStyle w:val="TableContents"/>
              <w:bidi w:val="0"/>
              <w:spacing w:before="0" w:after="283"/>
              <w:jc w:val="left"/>
              <w:rPr/>
            </w:pPr>
            <w:r>
              <w:rPr/>
              <w:t>101.CAL</w:t>
            </w:r>
          </w:p>
        </w:tc>
        <w:tc>
          <w:tcPr>
            <w:tcW w:w="60" w:type="dxa"/>
            <w:tcBorders/>
            <w:shd w:fill="CCEEFF" w:val="clear"/>
            <w:vAlign w:val="center"/>
          </w:tcPr>
          <w:p>
            <w:pPr>
              <w:pStyle w:val="TableContents"/>
              <w:bidi w:val="0"/>
              <w:spacing w:before="0" w:after="283"/>
              <w:jc w:val="left"/>
              <w:rPr/>
            </w:pPr>
            <w:r>
              <w:rPr/>
              <w:t> </w:t>
            </w:r>
          </w:p>
        </w:tc>
        <w:tc>
          <w:tcPr>
            <w:tcW w:w="9462" w:type="dxa"/>
            <w:gridSpan w:val="3"/>
            <w:tcBorders/>
            <w:shd w:fill="CCEEFF" w:val="clear"/>
            <w:vAlign w:val="center"/>
          </w:tcPr>
          <w:p>
            <w:pPr>
              <w:pStyle w:val="TableContents"/>
              <w:bidi w:val="0"/>
              <w:spacing w:before="0" w:after="283"/>
              <w:jc w:val="left"/>
              <w:rPr/>
            </w:pPr>
            <w:r>
              <w:rPr/>
              <w:t>Inline XBRL Taxonomy Extension Calculation Linkbase Document.</w:t>
            </w:r>
          </w:p>
        </w:tc>
      </w:tr>
      <w:tr>
        <w:trPr/>
        <w:tc>
          <w:tcPr>
            <w:tcW w:w="683" w:type="dxa"/>
            <w:tcBorders/>
            <w:shd w:fill="FFFFFF" w:val="clear"/>
            <w:vAlign w:val="center"/>
          </w:tcPr>
          <w:p>
            <w:pPr>
              <w:pStyle w:val="TableContents"/>
              <w:bidi w:val="0"/>
              <w:spacing w:before="0" w:after="283"/>
              <w:jc w:val="left"/>
              <w:rPr/>
            </w:pPr>
            <w:r>
              <w:rPr/>
              <w:t>101.DEF</w:t>
            </w:r>
          </w:p>
        </w:tc>
        <w:tc>
          <w:tcPr>
            <w:tcW w:w="60" w:type="dxa"/>
            <w:tcBorders/>
            <w:shd w:fill="FFFFFF" w:val="clear"/>
            <w:vAlign w:val="center"/>
          </w:tcPr>
          <w:p>
            <w:pPr>
              <w:pStyle w:val="TableContents"/>
              <w:bidi w:val="0"/>
              <w:spacing w:before="0" w:after="283"/>
              <w:jc w:val="left"/>
              <w:rPr/>
            </w:pPr>
            <w:r>
              <w:rPr/>
              <w:t> </w:t>
            </w:r>
          </w:p>
        </w:tc>
        <w:tc>
          <w:tcPr>
            <w:tcW w:w="9462" w:type="dxa"/>
            <w:gridSpan w:val="3"/>
            <w:tcBorders/>
            <w:shd w:fill="FFFFFF" w:val="clear"/>
            <w:vAlign w:val="center"/>
          </w:tcPr>
          <w:p>
            <w:pPr>
              <w:pStyle w:val="TableContents"/>
              <w:bidi w:val="0"/>
              <w:spacing w:before="0" w:after="283"/>
              <w:jc w:val="left"/>
              <w:rPr/>
            </w:pPr>
            <w:r>
              <w:rPr/>
              <w:t>Inline XBRL Taxonomy Extension Definition Linkbase Document</w:t>
            </w:r>
          </w:p>
        </w:tc>
      </w:tr>
      <w:tr>
        <w:trPr/>
        <w:tc>
          <w:tcPr>
            <w:tcW w:w="683" w:type="dxa"/>
            <w:tcBorders/>
            <w:shd w:fill="CCEEFF" w:val="clear"/>
            <w:vAlign w:val="center"/>
          </w:tcPr>
          <w:p>
            <w:pPr>
              <w:pStyle w:val="TableContents"/>
              <w:bidi w:val="0"/>
              <w:spacing w:before="0" w:after="283"/>
              <w:jc w:val="left"/>
              <w:rPr/>
            </w:pPr>
            <w:r>
              <w:rPr/>
              <w:t>101.LAB</w:t>
            </w:r>
          </w:p>
        </w:tc>
        <w:tc>
          <w:tcPr>
            <w:tcW w:w="60" w:type="dxa"/>
            <w:tcBorders/>
            <w:shd w:fill="CCEEFF" w:val="clear"/>
            <w:vAlign w:val="center"/>
          </w:tcPr>
          <w:p>
            <w:pPr>
              <w:pStyle w:val="TableContents"/>
              <w:bidi w:val="0"/>
              <w:spacing w:before="0" w:after="283"/>
              <w:jc w:val="left"/>
              <w:rPr/>
            </w:pPr>
            <w:r>
              <w:rPr/>
              <w:t> </w:t>
            </w:r>
          </w:p>
        </w:tc>
        <w:tc>
          <w:tcPr>
            <w:tcW w:w="9462" w:type="dxa"/>
            <w:gridSpan w:val="3"/>
            <w:tcBorders/>
            <w:shd w:fill="CCEEFF" w:val="clear"/>
            <w:vAlign w:val="center"/>
          </w:tcPr>
          <w:p>
            <w:pPr>
              <w:pStyle w:val="TableContents"/>
              <w:bidi w:val="0"/>
              <w:spacing w:before="0" w:after="283"/>
              <w:jc w:val="left"/>
              <w:rPr/>
            </w:pPr>
            <w:r>
              <w:rPr/>
              <w:t>Inline XBRL Taxonomy Extension Label Linkbase Document</w:t>
            </w:r>
          </w:p>
        </w:tc>
      </w:tr>
      <w:tr>
        <w:trPr/>
        <w:tc>
          <w:tcPr>
            <w:tcW w:w="683" w:type="dxa"/>
            <w:tcBorders/>
            <w:shd w:fill="FFFFFF" w:val="clear"/>
            <w:vAlign w:val="center"/>
          </w:tcPr>
          <w:p>
            <w:pPr>
              <w:pStyle w:val="TableContents"/>
              <w:bidi w:val="0"/>
              <w:spacing w:before="0" w:after="283"/>
              <w:jc w:val="left"/>
              <w:rPr/>
            </w:pPr>
            <w:r>
              <w:rPr/>
              <w:t>101.PRE</w:t>
            </w:r>
          </w:p>
        </w:tc>
        <w:tc>
          <w:tcPr>
            <w:tcW w:w="60" w:type="dxa"/>
            <w:tcBorders/>
            <w:shd w:fill="FFFFFF" w:val="clear"/>
            <w:vAlign w:val="center"/>
          </w:tcPr>
          <w:p>
            <w:pPr>
              <w:pStyle w:val="TableContents"/>
              <w:bidi w:val="0"/>
              <w:spacing w:before="0" w:after="283"/>
              <w:jc w:val="left"/>
              <w:rPr/>
            </w:pPr>
            <w:r>
              <w:rPr/>
              <w:t> </w:t>
            </w:r>
          </w:p>
        </w:tc>
        <w:tc>
          <w:tcPr>
            <w:tcW w:w="9462" w:type="dxa"/>
            <w:gridSpan w:val="3"/>
            <w:tcBorders/>
            <w:shd w:fill="FFFFFF" w:val="clear"/>
            <w:vAlign w:val="center"/>
          </w:tcPr>
          <w:p>
            <w:pPr>
              <w:pStyle w:val="TableContents"/>
              <w:bidi w:val="0"/>
              <w:spacing w:before="0" w:after="283"/>
              <w:jc w:val="left"/>
              <w:rPr/>
            </w:pPr>
            <w:r>
              <w:rPr/>
              <w:t>Inline XBRL Taxonomy Extension Presentation Linkbase Document</w:t>
            </w:r>
          </w:p>
        </w:tc>
      </w:tr>
      <w:tr>
        <w:trPr/>
        <w:tc>
          <w:tcPr>
            <w:tcW w:w="683" w:type="dxa"/>
            <w:tcBorders/>
            <w:shd w:fill="CCEEFF" w:val="clear"/>
            <w:vAlign w:val="center"/>
          </w:tcPr>
          <w:p>
            <w:pPr>
              <w:pStyle w:val="TableContents"/>
              <w:bidi w:val="0"/>
              <w:spacing w:before="0" w:after="283"/>
              <w:jc w:val="left"/>
              <w:rPr/>
            </w:pPr>
            <w:r>
              <w:rPr/>
              <w:t>104</w:t>
            </w:r>
          </w:p>
        </w:tc>
        <w:tc>
          <w:tcPr>
            <w:tcW w:w="60" w:type="dxa"/>
            <w:tcBorders/>
            <w:shd w:fill="CCEEFF" w:val="clear"/>
            <w:vAlign w:val="center"/>
          </w:tcPr>
          <w:p>
            <w:pPr>
              <w:pStyle w:val="TableContents"/>
              <w:bidi w:val="0"/>
              <w:spacing w:before="0" w:after="283"/>
              <w:jc w:val="left"/>
              <w:rPr/>
            </w:pPr>
            <w:r>
              <w:rPr/>
              <w:t> </w:t>
            </w:r>
          </w:p>
        </w:tc>
        <w:tc>
          <w:tcPr>
            <w:tcW w:w="9462" w:type="dxa"/>
            <w:gridSpan w:val="3"/>
            <w:tcBorders/>
            <w:shd w:fill="CCEEFF" w:val="cle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4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Filed herewith.</w:t>
            </w:r>
          </w:p>
        </w:tc>
      </w:tr>
    </w:tbl>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t>Schedules omitted pursuant to Item 601(a)(5) of Regulation S-K. The Company agrees to furnish supplementally to the SEC a copy of any omitted schedule or exhibit upon the request of the SEC in accordance with Item 601(b)(2) of Regulation S-K.</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Exchange Act, the registrant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665"/>
        <w:gridCol w:w="4250"/>
        <w:gridCol w:w="75"/>
      </w:tblGrid>
      <w:tr>
        <w:trPr/>
        <w:tc>
          <w:tcPr>
            <w:tcW w:w="4915" w:type="dxa"/>
            <w:gridSpan w:val="2"/>
            <w:tcBorders/>
            <w:vAlign w:val="center"/>
          </w:tcPr>
          <w:p>
            <w:pPr>
              <w:pStyle w:val="TableContents"/>
              <w:bidi w:val="0"/>
              <w:spacing w:before="0" w:after="283"/>
              <w:jc w:val="left"/>
              <w:rPr/>
            </w:pPr>
            <w:r>
              <w:rPr/>
              <w:t>CID HOLDCO, INC.</w:t>
            </w:r>
          </w:p>
        </w:tc>
        <w:tc>
          <w:tcPr>
            <w:tcW w:w="75" w:type="dxa"/>
            <w:tcBorders/>
            <w:vAlign w:val="center"/>
          </w:tcPr>
          <w:p>
            <w:pPr>
              <w:pStyle w:val="TableContents"/>
              <w:bidi w:val="0"/>
              <w:spacing w:before="0" w:after="283"/>
              <w:jc w:val="left"/>
              <w:rPr/>
            </w:pPr>
            <w:r>
              <w:rPr/>
              <w:t> </w:t>
            </w:r>
          </w:p>
        </w:tc>
      </w:tr>
      <w:tr>
        <w:trPr/>
        <w:tc>
          <w:tcPr>
            <w:tcW w:w="49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15" w:type="dxa"/>
            <w:gridSpan w:val="2"/>
            <w:tcBorders/>
            <w:vAlign w:val="center"/>
          </w:tcPr>
          <w:p>
            <w:pPr>
              <w:pStyle w:val="TableContents"/>
              <w:bidi w:val="0"/>
              <w:spacing w:before="0" w:after="283"/>
              <w:jc w:val="left"/>
              <w:rPr/>
            </w:pPr>
            <w:r>
              <w:rPr/>
              <w:t>Date: September 25, 2026</w:t>
            </w:r>
          </w:p>
        </w:tc>
        <w:tc>
          <w:tcPr>
            <w:tcW w:w="75" w:type="dxa"/>
            <w:tcBorders/>
            <w:vAlign w:val="center"/>
          </w:tcPr>
          <w:p>
            <w:pPr>
              <w:pStyle w:val="TableContents"/>
              <w:bidi w:val="0"/>
              <w:spacing w:before="0" w:after="283"/>
              <w:jc w:val="left"/>
              <w:rPr/>
            </w:pPr>
            <w:r>
              <w:rPr/>
              <w:t> </w:t>
            </w:r>
          </w:p>
        </w:tc>
      </w:tr>
      <w:tr>
        <w:trPr/>
        <w:tc>
          <w:tcPr>
            <w:tcW w:w="49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15" w:type="dxa"/>
            <w:gridSpan w:val="2"/>
            <w:tcBorders>
              <w:bottom w:val="single" w:sz="12" w:space="0" w:color="000000"/>
            </w:tcBorders>
            <w:tcMar>
              <w:bottom w:w="28" w:type="dxa"/>
            </w:tcMar>
            <w:vAlign w:val="center"/>
          </w:tcPr>
          <w:p>
            <w:pPr>
              <w:pStyle w:val="TableContents"/>
              <w:bidi w:val="0"/>
              <w:spacing w:before="0" w:after="283"/>
              <w:jc w:val="left"/>
              <w:rPr/>
            </w:pPr>
            <w:r>
              <w:rPr/>
              <w:t>/s/ Edmund Nabrotzky</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4250" w:type="dxa"/>
            <w:tcBorders/>
            <w:vAlign w:val="center"/>
          </w:tcPr>
          <w:p>
            <w:pPr>
              <w:pStyle w:val="TableContents"/>
              <w:bidi w:val="0"/>
              <w:spacing w:before="0" w:after="283"/>
              <w:jc w:val="left"/>
              <w:rPr/>
            </w:pPr>
            <w:r>
              <w:rPr/>
              <w:t>Edmund Nabrotzky</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4250"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(Principal Executive Officer)</w:t>
            </w:r>
          </w:p>
        </w:tc>
        <w:tc>
          <w:tcPr>
            <w:tcW w:w="75" w:type="dxa"/>
            <w:tcBorders/>
            <w:vAlign w:val="center"/>
          </w:tcPr>
          <w:p>
            <w:pPr>
              <w:pStyle w:val="TableContents"/>
              <w:bidi w:val="0"/>
              <w:spacing w:before="0" w:after="283"/>
              <w:jc w:val="left"/>
              <w:rPr/>
            </w:pPr>
            <w:r>
              <w:rPr/>
              <w:t> </w:t>
            </w:r>
          </w:p>
        </w:tc>
      </w:tr>
      <w:tr>
        <w:trPr/>
        <w:tc>
          <w:tcPr>
            <w:tcW w:w="49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15" w:type="dxa"/>
            <w:gridSpan w:val="2"/>
            <w:tcBorders>
              <w:bottom w:val="single" w:sz="12" w:space="0" w:color="000000"/>
            </w:tcBorders>
            <w:tcMar>
              <w:bottom w:w="28" w:type="dxa"/>
            </w:tcMar>
            <w:vAlign w:val="center"/>
          </w:tcPr>
          <w:p>
            <w:pPr>
              <w:pStyle w:val="TableContents"/>
              <w:bidi w:val="0"/>
              <w:spacing w:before="0" w:after="283"/>
              <w:jc w:val="left"/>
              <w:rPr/>
            </w:pPr>
            <w:r>
              <w:rPr/>
              <w:t>/s/ Charles Maddox</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4250" w:type="dxa"/>
            <w:tcBorders/>
            <w:vAlign w:val="center"/>
          </w:tcPr>
          <w:p>
            <w:pPr>
              <w:pStyle w:val="TableContents"/>
              <w:bidi w:val="0"/>
              <w:spacing w:before="0" w:after="283"/>
              <w:jc w:val="left"/>
              <w:rPr/>
            </w:pPr>
            <w:r>
              <w:rPr/>
              <w:t>Charles Maddox</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4250"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(Principal Financial and Accounting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21" w:name="ea030650101ex10-3.htm"/>
      <w:bookmarkStart w:id="22" w:name="ksea030650101ex103"/>
      <w:bookmarkEnd w:id="21"/>
      <w:bookmarkEnd w:id="22"/>
      <w:r>
        <w:rPr>
          <w:rFonts w:ascii="Times New Roman;Times;Serif" w:hAnsi="Times New Roman;Times;Serif"/>
          <w:b/>
          <w:i w:val="false"/>
          <w:caps/>
          <w:sz w:val="20"/>
        </w:rPr>
        <w:t>E</w:t>
      </w:r>
      <w:r>
        <w:rPr>
          <w:rFonts w:ascii="Times New Roman;Times;Serif" w:hAnsi="Times New Roman;Times;Serif"/>
          <w:b/>
          <w:i w:val="false"/>
          <w:caps w:val="false"/>
          <w:smallCaps w:val="false"/>
          <w:sz w:val="20"/>
        </w:rPr>
        <w:t xml:space="preserve">xhibit </w:t>
      </w:r>
      <w:r>
        <w:rPr>
          <w:rFonts w:ascii="Times New Roman;Times;Serif" w:hAnsi="Times New Roman;Times;Serif"/>
          <w:b/>
          <w:i w:val="false"/>
          <w:caps/>
          <w:sz w:val="20"/>
        </w:rPr>
        <w:t>10.3</w:t>
      </w:r>
      <w:r>
        <w:br w:type="page"/>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Amendment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to the</w:t>
        <w:br/>
        <w:t xml:space="preserve">CID HOLDCO, INC.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2024 Equity Inventive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2026</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CID Holdco, Inc. (the “Company”) maintains the CID Holdco, Inc. 2024 Equity Incentive Plan (the “Plan”);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17 of the Plan provides that the Plan may be amended from time to time;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amend the Plan in certain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Plan is hereby amended, effective as of the date the stockholders of the Company approve this amendment, in the following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Section 4.1 of the Plan is amended to read in its entirety as follows: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4.1 Maximum Number of Shares Issuable</w:t>
      </w:r>
      <w:r>
        <w:rPr>
          <w:rFonts w:ascii="Times New Roman;Times;Serif" w:hAnsi="Times New Roman;Times;Serif"/>
          <w:b w:val="false"/>
          <w:i w:val="false"/>
          <w:caps w:val="false"/>
          <w:smallCaps w:val="false"/>
          <w:sz w:val="20"/>
        </w:rPr>
        <w:t xml:space="preserve">. Subject to adjustment as provided in </w:t>
      </w:r>
      <w:r>
        <w:rPr>
          <w:rFonts w:ascii="Times New Roman;Times;Serif" w:hAnsi="Times New Roman;Times;Serif"/>
          <w:b w:val="false"/>
          <w:i w:val="false"/>
          <w:caps w:val="false"/>
          <w:smallCaps w:val="false"/>
          <w:sz w:val="20"/>
          <w:u w:val="single"/>
        </w:rPr>
        <w:t>Sections 4.2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4.3</w:t>
      </w:r>
      <w:r>
        <w:rPr>
          <w:rFonts w:ascii="Times New Roman;Times;Serif" w:hAnsi="Times New Roman;Times;Serif"/>
          <w:b w:val="false"/>
          <w:i w:val="false"/>
          <w:caps w:val="false"/>
          <w:smallCaps w:val="false"/>
          <w:sz w:val="20"/>
        </w:rPr>
        <w:t>, the maximum aggregate number of shares of Stock that may be issued under the Plan shall be equal to 19,959,853 shares, which is the sum of (i) 4,959,853 shares which reflects the shares of Stock authorized for issuance under the Plan as of the Effective Date, plus (ii) 15,000,000 shares which were approved at the Company’s 2026 Annual Meeting of Stockholders (together, the “</w:t>
      </w:r>
      <w:r>
        <w:rPr>
          <w:rFonts w:ascii="Times New Roman;Times;Serif" w:hAnsi="Times New Roman;Times;Serif"/>
          <w:b/>
          <w:i w:val="false"/>
          <w:caps w:val="false"/>
          <w:smallCaps w:val="false"/>
          <w:sz w:val="20"/>
        </w:rPr>
        <w:t>Base Reserve</w:t>
      </w:r>
      <w:r>
        <w:rPr>
          <w:rFonts w:ascii="Times New Roman;Times;Serif" w:hAnsi="Times New Roman;Times;Serif"/>
          <w:b w:val="false"/>
          <w:i w:val="false"/>
          <w:caps w:val="false"/>
          <w:smallCaps w:val="false"/>
          <w:sz w:val="20"/>
        </w:rPr>
        <w:t>”) plus an annual increase, effective as of the first day of the Company’s fiscal year beginning in the year following the fiscal year in which the Company’s stockholders initially approved the Plan and the first day of each subsequent fiscal year through and including the first day of the Company’s fiscal year beginning on the tenth (10th) anniversary of the commencement of such annual increase, equal to the lesser of (i) ten percent (10%) of the number of shares of Stock outstanding as of the conclusion of the Company’s immediately preceding fiscal year, or (ii) such amount, if any, as the Board may determine, and such shares shall consist of authorized but unissued or reacquired shares of Stock or any combination thereof.”</w:t>
      </w:r>
    </w:p>
    <w:p>
      <w:pPr>
        <w:pStyle w:val="TextBody"/>
        <w:bidi w:val="0"/>
        <w:spacing w:before="0" w:after="0"/>
        <w:ind w:left="720" w:right="72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conflict between the terms and conditions of the Plan and the terms and conditions of this Amendment, the terms and conditions of this Amendment shall prevail and control. If any term or provision of this Amendment or the application thereof to any persons or circumstances shall, to any extent, be invalid or unenforceable, the remainder of this Amendment or the application of such term or provision to persons or circumstances other than those as to which it is held invalid or unenforceable shall not be affected thereby, and each term and provision of this Amendment shall be valid and enforced to the fullest extent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Amendment as of the date first written above on behalf of the Company.</w:t>
      </w:r>
    </w:p>
    <w:p>
      <w:pPr>
        <w:pStyle w:val="TextBody"/>
        <w:bidi w:val="0"/>
        <w:spacing w:before="0" w:after="0"/>
        <w:ind w:left="531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both"/>
              <w:rPr/>
            </w:pPr>
            <w:r>
              <w:rPr/>
              <w:t> </w:t>
            </w:r>
          </w:p>
        </w:tc>
        <w:tc>
          <w:tcPr>
            <w:tcW w:w="368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CID HOLDCO, INC.</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31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Edmund Nabrotzky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Edmund Nabrotzky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531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30650101ex10-4.htm"/>
      <w:bookmarkStart w:id="24" w:name="ksea030650101ex104"/>
      <w:bookmarkEnd w:id="23"/>
      <w:bookmarkEnd w:id="24"/>
      <w:r>
        <w:rPr>
          <w:rFonts w:ascii="Times New Roman;Times;Serif" w:hAnsi="Times New Roman;Times;Serif"/>
          <w:b/>
          <w:i w:val="false"/>
          <w:caps w:val="false"/>
          <w:smallCaps w:val="false"/>
          <w:sz w:val="20"/>
        </w:rPr>
        <w:t>Exhibit 10.4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Phillips Equities &amp; Trust - Dot Ai (Ticker: DAIC) Asset Sale Bridge Note with Common Stock Conversion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PURCHASE AGREEMENT (this “Agreement”) is dated as of June 23, 2026 by and among CID HOLDCO, INC., a Delaware corporation (“Borrower,” “Company,” or “Parent”), SEE ID, INC., a Nevada corporation (“SEE ID”), solely as a Seller Party, Grantor, and Guarantor, DOT WORKS, INC., a Puerto Rico corporation (“Dot Works”), solely as a Seller Party, Pre-Closing Grantor, and covenant party and not as Borrower or a continuing guarantor, and PHILLIPS EQUITIES &amp; TRUST, LLC a Delaware limited liability company (“Buyer” or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Borrower, SEE ID, Dot Works, and Buyer are parties to, or are entering into concurrently with this Agreement, a Non-Binding Letter of Intent dated June 8, 2026 (the “LOI”) regarding Buyer’s proposed acquisition of the Dot Ai operating business, including substantially all operating assets of SEE ID and the transfer or acquisition of Dot Works or the assets held by Dot 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LOI contemplates that Buyer will fund $500,000 to Borrower in the form of a secured convertible debt note upon execution of the LOI and the related note and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Borrower desires to issue and sell to Buyer, and Buyer desires to purchase from Borrower, a senior secured convertible promissory note in the original principal amount of $500,000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intend that the Note include Buyer’s optional right to convert outstanding principal, accrued interest, and other amounts due under the Note into shares of Common Stock at a floating twenty percent (20%) discount, subject to a fixed 19.99% Exchange Cap, beneficial ownership limits, securities-law compliance, transfer restrictions, and any required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CID Holdco, Inc. and SEE ID, Inc. are expected to remain in place following the Asset Sale Closing, and Dot Works is expected to be transferred to Buyer or Buyer’s acquisition vehicle or otherwise included in the Asset Sale. Dot Works is joining only as a pre-closing Seller Party, Pre-Closing Grantor, and covenant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Note will be secured on a second priority basis by the Collateral described in this Agreement and in the Security Documents, subject only to the Existing JJ Astor Lien (hereinafter defined) in favor of J.J. Astor &amp; Co., a Utah corporation (“J.J. Astor”).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PURCHASE AND SALE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this Agreement, Buyer shall purchase from Borrower, and Borrower shall issue and sell to Buyer, the Note in the original principal amount of $500,000.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the Note shall be $500,000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Closing and Immediate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shall occur on the Execution Date or such other date as Borrower and Buyer agree in writing, subject to satisfaction or waiver by Buyer of Section 6 conditions. Buyer shall fund $500,000 by wire transfer to Borrower. Upon receipt, Borrower shall have immediate access to the proceeds, subject to the permitted use-of-proceeds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Securities Package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provides for a single $500,000 note purchase only. The Securities consist only of the Note and Conversion Shares issuable upon conversion of the Note. The Parties are also executing a Registration Rights Agreement and Transfer Agent Letter solely for the Conversion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Relationship to LOI.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issued in connection with the proposed Asset Sale described in the LOI. Nothing in this Agreement obligates Buyer to consummate the Asset Sale unless Definitive Asset Sale Documents are executed and all conditions are satisfied or waived. This Agreement, the Note, the Registration Rights Agreement, the Transfer Agent Letter, and Security Documents are binding obligations independent of the non-binding provisions of the LOI.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NOTE TERMS; CONVERSION; ASSET SALE CLOSING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12"/>
        <w:gridCol w:w="60"/>
        <w:gridCol w:w="8433"/>
      </w:tblGrid>
      <w:tr>
        <w:trPr/>
        <w:tc>
          <w:tcPr>
            <w:tcW w:w="1712" w:type="dxa"/>
            <w:tcBorders>
              <w:bottom w:val="single" w:sz="12" w:space="0" w:color="000000"/>
            </w:tcBorders>
            <w:vAlign w:val="center"/>
          </w:tcPr>
          <w:p>
            <w:pPr>
              <w:pStyle w:val="TableContents"/>
              <w:bidi w:val="0"/>
              <w:spacing w:before="0" w:after="283"/>
              <w:jc w:val="left"/>
              <w:rPr>
                <w:b/>
                <w:sz w:val="20"/>
              </w:rPr>
            </w:pPr>
            <w:r>
              <w:rPr>
                <w:b/>
                <w:sz w:val="20"/>
              </w:rPr>
              <w:t>Term</w:t>
            </w:r>
          </w:p>
        </w:tc>
        <w:tc>
          <w:tcPr>
            <w:tcW w:w="60" w:type="dxa"/>
            <w:tcBorders/>
            <w:tcMar>
              <w:bottom w:w="0" w:type="dxa"/>
            </w:tcMar>
            <w:vAlign w:val="center"/>
          </w:tcPr>
          <w:p>
            <w:pPr>
              <w:pStyle w:val="TableContents"/>
              <w:bidi w:val="0"/>
              <w:spacing w:before="0" w:after="283"/>
              <w:jc w:val="left"/>
              <w:rPr/>
            </w:pPr>
            <w:r>
              <w:rPr/>
              <w:t> </w:t>
            </w:r>
          </w:p>
        </w:tc>
        <w:tc>
          <w:tcPr>
            <w:tcW w:w="8433" w:type="dxa"/>
            <w:tcBorders>
              <w:bottom w:val="single" w:sz="12" w:space="0" w:color="000000"/>
            </w:tcBorders>
            <w:vAlign w:val="center"/>
          </w:tcPr>
          <w:p>
            <w:pPr>
              <w:pStyle w:val="TableContents"/>
              <w:bidi w:val="0"/>
              <w:spacing w:before="0" w:after="283"/>
              <w:jc w:val="center"/>
              <w:rPr>
                <w:b/>
                <w:sz w:val="20"/>
              </w:rPr>
            </w:pPr>
            <w:r>
              <w:rPr>
                <w:b/>
                <w:sz w:val="20"/>
              </w:rPr>
              <w:t>Provision</w:t>
            </w:r>
          </w:p>
        </w:tc>
      </w:tr>
      <w:tr>
        <w:trPr/>
        <w:tc>
          <w:tcPr>
            <w:tcW w:w="1712" w:type="dxa"/>
            <w:tcBorders/>
            <w:tcMar>
              <w:bottom w:w="0" w:type="dxa"/>
            </w:tcMar>
            <w:vAlign w:val="center"/>
          </w:tcPr>
          <w:p>
            <w:pPr>
              <w:pStyle w:val="TableContents"/>
              <w:bidi w:val="0"/>
              <w:spacing w:before="0" w:after="283"/>
              <w:jc w:val="left"/>
              <w:rPr>
                <w:b/>
                <w:sz w:val="20"/>
              </w:rPr>
            </w:pPr>
            <w:r>
              <w:rPr>
                <w:b/>
                <w:sz w:val="20"/>
              </w:rPr>
              <w:t>Principal Amount</w:t>
            </w:r>
          </w:p>
        </w:tc>
        <w:tc>
          <w:tcPr>
            <w:tcW w:w="60" w:type="dxa"/>
            <w:tcBorders/>
            <w:tcMar>
              <w:bottom w:w="0" w:type="dxa"/>
            </w:tcMar>
            <w:vAlign w:val="center"/>
          </w:tcPr>
          <w:p>
            <w:pPr>
              <w:pStyle w:val="TableContents"/>
              <w:bidi w:val="0"/>
              <w:spacing w:before="0" w:after="283"/>
              <w:jc w:val="left"/>
              <w:rPr/>
            </w:pPr>
            <w:r>
              <w:rPr/>
              <w:t> </w:t>
            </w:r>
          </w:p>
        </w:tc>
        <w:tc>
          <w:tcPr>
            <w:tcW w:w="8433" w:type="dxa"/>
            <w:tcBorders/>
            <w:tcMar>
              <w:bottom w:w="0" w:type="dxa"/>
            </w:tcMar>
            <w:vAlign w:val="center"/>
          </w:tcPr>
          <w:p>
            <w:pPr>
              <w:pStyle w:val="TableContents"/>
              <w:bidi w:val="0"/>
              <w:spacing w:before="0" w:after="283"/>
              <w:jc w:val="left"/>
              <w:rPr>
                <w:sz w:val="20"/>
              </w:rPr>
            </w:pPr>
            <w:r>
              <w:rPr>
                <w:sz w:val="20"/>
              </w:rPr>
              <w:t>$500,000</w:t>
            </w:r>
          </w:p>
        </w:tc>
      </w:tr>
      <w:tr>
        <w:trPr/>
        <w:tc>
          <w:tcPr>
            <w:tcW w:w="1712" w:type="dxa"/>
            <w:tcBorders/>
            <w:tcMar>
              <w:bottom w:w="0" w:type="dxa"/>
            </w:tcMar>
            <w:vAlign w:val="center"/>
          </w:tcPr>
          <w:p>
            <w:pPr>
              <w:pStyle w:val="TableContents"/>
              <w:bidi w:val="0"/>
              <w:spacing w:before="0" w:after="283"/>
              <w:jc w:val="left"/>
              <w:rPr>
                <w:b/>
                <w:sz w:val="20"/>
              </w:rPr>
            </w:pPr>
            <w:r>
              <w:rPr>
                <w:b/>
                <w:sz w:val="20"/>
              </w:rPr>
              <w:t>Funding Amount</w:t>
            </w:r>
          </w:p>
        </w:tc>
        <w:tc>
          <w:tcPr>
            <w:tcW w:w="60" w:type="dxa"/>
            <w:tcBorders/>
            <w:tcMar>
              <w:bottom w:w="0" w:type="dxa"/>
            </w:tcMar>
            <w:vAlign w:val="center"/>
          </w:tcPr>
          <w:p>
            <w:pPr>
              <w:pStyle w:val="TableContents"/>
              <w:bidi w:val="0"/>
              <w:spacing w:before="0" w:after="283"/>
              <w:jc w:val="left"/>
              <w:rPr/>
            </w:pPr>
            <w:r>
              <w:rPr/>
              <w:t> </w:t>
            </w:r>
          </w:p>
        </w:tc>
        <w:tc>
          <w:tcPr>
            <w:tcW w:w="8433" w:type="dxa"/>
            <w:tcBorders/>
            <w:tcMar>
              <w:bottom w:w="0" w:type="dxa"/>
            </w:tcMar>
            <w:vAlign w:val="center"/>
          </w:tcPr>
          <w:p>
            <w:pPr>
              <w:pStyle w:val="TableContents"/>
              <w:bidi w:val="0"/>
              <w:spacing w:before="0" w:after="283"/>
              <w:jc w:val="left"/>
              <w:rPr>
                <w:sz w:val="20"/>
              </w:rPr>
            </w:pPr>
            <w:r>
              <w:rPr>
                <w:sz w:val="20"/>
              </w:rPr>
              <w:t>$500,000 cash</w:t>
            </w:r>
          </w:p>
        </w:tc>
      </w:tr>
      <w:tr>
        <w:trPr/>
        <w:tc>
          <w:tcPr>
            <w:tcW w:w="1712" w:type="dxa"/>
            <w:tcBorders/>
            <w:tcMar>
              <w:bottom w:w="0" w:type="dxa"/>
            </w:tcMar>
            <w:vAlign w:val="center"/>
          </w:tcPr>
          <w:p>
            <w:pPr>
              <w:pStyle w:val="TableContents"/>
              <w:bidi w:val="0"/>
              <w:spacing w:before="0" w:after="283"/>
              <w:jc w:val="left"/>
              <w:rPr>
                <w:b/>
                <w:sz w:val="20"/>
              </w:rPr>
            </w:pPr>
            <w:r>
              <w:rPr>
                <w:b/>
                <w:sz w:val="20"/>
              </w:rPr>
              <w:t>Borrower</w:t>
            </w:r>
          </w:p>
        </w:tc>
        <w:tc>
          <w:tcPr>
            <w:tcW w:w="60" w:type="dxa"/>
            <w:tcBorders/>
            <w:tcMar>
              <w:bottom w:w="0" w:type="dxa"/>
            </w:tcMar>
            <w:vAlign w:val="center"/>
          </w:tcPr>
          <w:p>
            <w:pPr>
              <w:pStyle w:val="TableContents"/>
              <w:bidi w:val="0"/>
              <w:spacing w:before="0" w:after="283"/>
              <w:jc w:val="left"/>
              <w:rPr/>
            </w:pPr>
            <w:r>
              <w:rPr/>
              <w:t> </w:t>
            </w:r>
          </w:p>
        </w:tc>
        <w:tc>
          <w:tcPr>
            <w:tcW w:w="8433" w:type="dxa"/>
            <w:tcBorders/>
            <w:tcMar>
              <w:bottom w:w="0" w:type="dxa"/>
            </w:tcMar>
            <w:vAlign w:val="center"/>
          </w:tcPr>
          <w:p>
            <w:pPr>
              <w:pStyle w:val="TableContents"/>
              <w:bidi w:val="0"/>
              <w:spacing w:before="0" w:after="283"/>
              <w:jc w:val="left"/>
              <w:rPr>
                <w:sz w:val="20"/>
              </w:rPr>
            </w:pPr>
            <w:r>
              <w:rPr>
                <w:sz w:val="20"/>
              </w:rPr>
              <w:t>CID Holdco, Inc.</w:t>
            </w:r>
          </w:p>
        </w:tc>
      </w:tr>
      <w:tr>
        <w:trPr/>
        <w:tc>
          <w:tcPr>
            <w:tcW w:w="1712" w:type="dxa"/>
            <w:tcBorders/>
            <w:tcMar>
              <w:bottom w:w="0" w:type="dxa"/>
            </w:tcMar>
            <w:vAlign w:val="center"/>
          </w:tcPr>
          <w:p>
            <w:pPr>
              <w:pStyle w:val="TableContents"/>
              <w:bidi w:val="0"/>
              <w:spacing w:before="0" w:after="283"/>
              <w:jc w:val="left"/>
              <w:rPr>
                <w:b/>
                <w:sz w:val="20"/>
              </w:rPr>
            </w:pPr>
            <w:r>
              <w:rPr>
                <w:b/>
                <w:sz w:val="20"/>
              </w:rPr>
              <w:t>Lender</w:t>
            </w:r>
          </w:p>
        </w:tc>
        <w:tc>
          <w:tcPr>
            <w:tcW w:w="60" w:type="dxa"/>
            <w:tcBorders/>
            <w:tcMar>
              <w:bottom w:w="0" w:type="dxa"/>
            </w:tcMar>
            <w:vAlign w:val="center"/>
          </w:tcPr>
          <w:p>
            <w:pPr>
              <w:pStyle w:val="TableContents"/>
              <w:bidi w:val="0"/>
              <w:spacing w:before="0" w:after="283"/>
              <w:jc w:val="left"/>
              <w:rPr/>
            </w:pPr>
            <w:r>
              <w:rPr/>
              <w:t> </w:t>
            </w:r>
          </w:p>
        </w:tc>
        <w:tc>
          <w:tcPr>
            <w:tcW w:w="8433" w:type="dxa"/>
            <w:tcBorders/>
            <w:tcMar>
              <w:bottom w:w="0" w:type="dxa"/>
            </w:tcMar>
            <w:vAlign w:val="center"/>
          </w:tcPr>
          <w:p>
            <w:pPr>
              <w:pStyle w:val="TableContents"/>
              <w:bidi w:val="0"/>
              <w:spacing w:before="0" w:after="283"/>
              <w:jc w:val="left"/>
              <w:rPr>
                <w:sz w:val="20"/>
              </w:rPr>
            </w:pPr>
            <w:r>
              <w:rPr>
                <w:sz w:val="20"/>
              </w:rPr>
              <w:t>Phillips Equities &amp; Trust</w:t>
            </w:r>
          </w:p>
        </w:tc>
      </w:tr>
      <w:tr>
        <w:trPr/>
        <w:tc>
          <w:tcPr>
            <w:tcW w:w="1712" w:type="dxa"/>
            <w:tcBorders/>
            <w:tcMar>
              <w:bottom w:w="0" w:type="dxa"/>
            </w:tcMar>
            <w:vAlign w:val="center"/>
          </w:tcPr>
          <w:p>
            <w:pPr>
              <w:pStyle w:val="TableContents"/>
              <w:bidi w:val="0"/>
              <w:spacing w:before="0" w:after="283"/>
              <w:jc w:val="left"/>
              <w:rPr>
                <w:b/>
                <w:sz w:val="20"/>
              </w:rPr>
            </w:pPr>
            <w:r>
              <w:rPr>
                <w:b/>
                <w:sz w:val="20"/>
              </w:rPr>
              <w:t>Maturity</w:t>
            </w:r>
          </w:p>
        </w:tc>
        <w:tc>
          <w:tcPr>
            <w:tcW w:w="60" w:type="dxa"/>
            <w:tcBorders/>
            <w:tcMar>
              <w:bottom w:w="0" w:type="dxa"/>
            </w:tcMar>
            <w:vAlign w:val="center"/>
          </w:tcPr>
          <w:p>
            <w:pPr>
              <w:pStyle w:val="TableContents"/>
              <w:bidi w:val="0"/>
              <w:spacing w:before="0" w:after="283"/>
              <w:jc w:val="left"/>
              <w:rPr/>
            </w:pPr>
            <w:r>
              <w:rPr/>
              <w:t> </w:t>
            </w:r>
          </w:p>
        </w:tc>
        <w:tc>
          <w:tcPr>
            <w:tcW w:w="8433" w:type="dxa"/>
            <w:tcBorders/>
            <w:tcMar>
              <w:bottom w:w="0" w:type="dxa"/>
            </w:tcMar>
            <w:vAlign w:val="center"/>
          </w:tcPr>
          <w:p>
            <w:pPr>
              <w:pStyle w:val="TableContents"/>
              <w:bidi w:val="0"/>
              <w:spacing w:before="0" w:after="283"/>
              <w:jc w:val="left"/>
              <w:rPr>
                <w:sz w:val="20"/>
              </w:rPr>
            </w:pPr>
            <w:r>
              <w:rPr>
                <w:sz w:val="20"/>
              </w:rPr>
              <w:t>12 months after Issue Date</w:t>
            </w:r>
          </w:p>
        </w:tc>
      </w:tr>
      <w:tr>
        <w:trPr/>
        <w:tc>
          <w:tcPr>
            <w:tcW w:w="1712" w:type="dxa"/>
            <w:tcBorders/>
            <w:tcMar>
              <w:bottom w:w="0" w:type="dxa"/>
            </w:tcMar>
            <w:vAlign w:val="center"/>
          </w:tcPr>
          <w:p>
            <w:pPr>
              <w:pStyle w:val="TableContents"/>
              <w:bidi w:val="0"/>
              <w:spacing w:before="0" w:after="283"/>
              <w:jc w:val="left"/>
              <w:rPr>
                <w:b/>
                <w:sz w:val="20"/>
              </w:rPr>
            </w:pPr>
            <w:r>
              <w:rPr>
                <w:b/>
                <w:sz w:val="20"/>
              </w:rPr>
              <w:t>Interest</w:t>
            </w:r>
          </w:p>
        </w:tc>
        <w:tc>
          <w:tcPr>
            <w:tcW w:w="60" w:type="dxa"/>
            <w:tcBorders/>
            <w:tcMar>
              <w:bottom w:w="0" w:type="dxa"/>
            </w:tcMar>
            <w:vAlign w:val="center"/>
          </w:tcPr>
          <w:p>
            <w:pPr>
              <w:pStyle w:val="TableContents"/>
              <w:bidi w:val="0"/>
              <w:spacing w:before="0" w:after="283"/>
              <w:jc w:val="left"/>
              <w:rPr/>
            </w:pPr>
            <w:r>
              <w:rPr/>
              <w:t> </w:t>
            </w:r>
          </w:p>
        </w:tc>
        <w:tc>
          <w:tcPr>
            <w:tcW w:w="8433" w:type="dxa"/>
            <w:tcBorders/>
            <w:tcMar>
              <w:bottom w:w="0" w:type="dxa"/>
            </w:tcMar>
            <w:vAlign w:val="center"/>
          </w:tcPr>
          <w:p>
            <w:pPr>
              <w:pStyle w:val="TableContents"/>
              <w:bidi w:val="0"/>
              <w:spacing w:before="0" w:after="283"/>
              <w:jc w:val="left"/>
              <w:rPr>
                <w:sz w:val="20"/>
              </w:rPr>
            </w:pPr>
            <w:r>
              <w:rPr>
                <w:sz w:val="20"/>
              </w:rPr>
              <w:t>6% per annum</w:t>
            </w:r>
          </w:p>
        </w:tc>
      </w:tr>
      <w:tr>
        <w:trPr/>
        <w:tc>
          <w:tcPr>
            <w:tcW w:w="1712" w:type="dxa"/>
            <w:tcBorders/>
            <w:tcMar>
              <w:bottom w:w="0" w:type="dxa"/>
            </w:tcMar>
            <w:vAlign w:val="center"/>
          </w:tcPr>
          <w:p>
            <w:pPr>
              <w:pStyle w:val="TableContents"/>
              <w:bidi w:val="0"/>
              <w:spacing w:before="0" w:after="283"/>
              <w:jc w:val="left"/>
              <w:rPr>
                <w:b/>
                <w:sz w:val="20"/>
              </w:rPr>
            </w:pPr>
            <w:r>
              <w:rPr>
                <w:b/>
                <w:sz w:val="20"/>
              </w:rPr>
              <w:t>Default Rate</w:t>
            </w:r>
          </w:p>
        </w:tc>
        <w:tc>
          <w:tcPr>
            <w:tcW w:w="60" w:type="dxa"/>
            <w:tcBorders/>
            <w:tcMar>
              <w:bottom w:w="0" w:type="dxa"/>
            </w:tcMar>
            <w:vAlign w:val="center"/>
          </w:tcPr>
          <w:p>
            <w:pPr>
              <w:pStyle w:val="TableContents"/>
              <w:bidi w:val="0"/>
              <w:spacing w:before="0" w:after="283"/>
              <w:jc w:val="left"/>
              <w:rPr/>
            </w:pPr>
            <w:r>
              <w:rPr/>
              <w:t> </w:t>
            </w:r>
          </w:p>
        </w:tc>
        <w:tc>
          <w:tcPr>
            <w:tcW w:w="8433" w:type="dxa"/>
            <w:tcBorders/>
            <w:tcMar>
              <w:bottom w:w="0" w:type="dxa"/>
            </w:tcMar>
            <w:vAlign w:val="center"/>
          </w:tcPr>
          <w:p>
            <w:pPr>
              <w:pStyle w:val="TableContents"/>
              <w:bidi w:val="0"/>
              <w:spacing w:before="0" w:after="283"/>
              <w:jc w:val="left"/>
              <w:rPr>
                <w:sz w:val="20"/>
              </w:rPr>
            </w:pPr>
            <w:r>
              <w:rPr>
                <w:sz w:val="20"/>
              </w:rPr>
              <w:t>12% per annum</w:t>
            </w:r>
          </w:p>
        </w:tc>
      </w:tr>
      <w:tr>
        <w:trPr/>
        <w:tc>
          <w:tcPr>
            <w:tcW w:w="1712" w:type="dxa"/>
            <w:tcBorders/>
            <w:tcMar>
              <w:bottom w:w="0" w:type="dxa"/>
            </w:tcMar>
            <w:vAlign w:val="center"/>
          </w:tcPr>
          <w:p>
            <w:pPr>
              <w:pStyle w:val="TableContents"/>
              <w:bidi w:val="0"/>
              <w:spacing w:before="0" w:after="283"/>
              <w:jc w:val="left"/>
              <w:rPr>
                <w:b/>
                <w:sz w:val="20"/>
              </w:rPr>
            </w:pPr>
            <w:r>
              <w:rPr>
                <w:b/>
                <w:sz w:val="20"/>
              </w:rPr>
              <w:t>Common Stock Conversion</w:t>
            </w:r>
          </w:p>
        </w:tc>
        <w:tc>
          <w:tcPr>
            <w:tcW w:w="60" w:type="dxa"/>
            <w:tcBorders/>
            <w:tcMar>
              <w:bottom w:w="0" w:type="dxa"/>
            </w:tcMar>
            <w:vAlign w:val="center"/>
          </w:tcPr>
          <w:p>
            <w:pPr>
              <w:pStyle w:val="TableContents"/>
              <w:bidi w:val="0"/>
              <w:spacing w:before="0" w:after="283"/>
              <w:jc w:val="left"/>
              <w:rPr/>
            </w:pPr>
            <w:r>
              <w:rPr/>
              <w:t> </w:t>
            </w:r>
          </w:p>
        </w:tc>
        <w:tc>
          <w:tcPr>
            <w:tcW w:w="8433" w:type="dxa"/>
            <w:tcBorders/>
            <w:tcMar>
              <w:bottom w:w="0" w:type="dxa"/>
            </w:tcMar>
            <w:vAlign w:val="center"/>
          </w:tcPr>
          <w:p>
            <w:pPr>
              <w:pStyle w:val="TableContents"/>
              <w:bidi w:val="0"/>
              <w:spacing w:before="0" w:after="283"/>
              <w:jc w:val="left"/>
              <w:rPr>
                <w:sz w:val="20"/>
              </w:rPr>
            </w:pPr>
            <w:r>
              <w:rPr>
                <w:sz w:val="20"/>
              </w:rPr>
              <w:t>Optional conversion into CID common stock at 80% of Market Price, subject to the Exchange Cap, Beneficial Ownership Limitation, securities-law compliance, and Trading Market rules</w:t>
            </w:r>
          </w:p>
        </w:tc>
      </w:tr>
      <w:tr>
        <w:trPr/>
        <w:tc>
          <w:tcPr>
            <w:tcW w:w="1712" w:type="dxa"/>
            <w:tcBorders/>
            <w:tcMar>
              <w:bottom w:w="0" w:type="dxa"/>
            </w:tcMar>
            <w:vAlign w:val="center"/>
          </w:tcPr>
          <w:p>
            <w:pPr>
              <w:pStyle w:val="TableContents"/>
              <w:bidi w:val="0"/>
              <w:spacing w:before="0" w:after="283"/>
              <w:jc w:val="left"/>
              <w:rPr>
                <w:b/>
                <w:sz w:val="20"/>
              </w:rPr>
            </w:pPr>
            <w:r>
              <w:rPr>
                <w:b/>
                <w:sz w:val="20"/>
              </w:rPr>
              <w:t>Security</w:t>
            </w:r>
          </w:p>
        </w:tc>
        <w:tc>
          <w:tcPr>
            <w:tcW w:w="60" w:type="dxa"/>
            <w:tcBorders/>
            <w:tcMar>
              <w:bottom w:w="0" w:type="dxa"/>
            </w:tcMar>
            <w:vAlign w:val="center"/>
          </w:tcPr>
          <w:p>
            <w:pPr>
              <w:pStyle w:val="TableContents"/>
              <w:bidi w:val="0"/>
              <w:spacing w:before="0" w:after="283"/>
              <w:jc w:val="left"/>
              <w:rPr/>
            </w:pPr>
            <w:r>
              <w:rPr/>
              <w:t> </w:t>
            </w:r>
          </w:p>
        </w:tc>
        <w:tc>
          <w:tcPr>
            <w:tcW w:w="8433" w:type="dxa"/>
            <w:tcBorders/>
            <w:tcMar>
              <w:bottom w:w="0" w:type="dxa"/>
            </w:tcMar>
            <w:vAlign w:val="center"/>
          </w:tcPr>
          <w:p>
            <w:pPr>
              <w:pStyle w:val="TableContents"/>
              <w:bidi w:val="0"/>
              <w:spacing w:before="0" w:after="283"/>
              <w:jc w:val="left"/>
              <w:rPr>
                <w:sz w:val="20"/>
              </w:rPr>
            </w:pPr>
            <w:r>
              <w:rPr>
                <w:sz w:val="20"/>
              </w:rPr>
              <w:t>Collateral described in the Security Documents, subject only to disclosed/approved JJ Astor lien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Common Stock Conversion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shall be convertible, at Buyer’s option, into shares of Common Stock. The Conversion Price shall equal 80% of Market Price, subject to equitable adjustment for stock splits, stock dividends, combinations, recapitalizations, and similar events. The conversion right is subject to the Exchange Cap, the Beneficial Ownership Limitation, the Securities Act, the Exchange Act, state securities laws, and Trading Market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Exchange Cap; Stockholder Approval; No Coercive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not issue, and Buyer shall not have the right to receive, Conversion Shares above the Exchange Cap unless any required Stockholder Approval has been obtained. The Exchange Cap is a fixed cap. Failure to obtain Stockholder Approval shall not be an Event of Default, shall not increase the interest rate or principal amount, shall not reduce the Conversion Price, and shall not create any penalty, liquidated damages, redemption premium, make-whole, or other coercive economic consequence. Amounts that cannot be converted because of the Exchange Cap remain outstanding under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not issue Conversion Shares if, after giving effect to the issuance, Buyer and its affiliates would beneficially own more than 4.99% of the outstanding Common Stock. Buyer may increase this limit to any percentage not exceeding 9.99% on 61 days’ prior written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Restricted Securities; Registration Rights; Transfer Agent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and Conversion Shares are issued in a private placement and are restricted securities and may only be transferred or sold if registered or under an available exemption from registration. The Registration Rights Agreement covers only Conversion Shares. The Transfer Agent Letter covers only Conversion Shares and not any other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Treatment at Asset Sale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Asset Sale Closing, the outstanding principal, accrued interest, and other amounts due may, at Buyer’s option, be credited against the Asset Purchase Price, repaid in cash, converted into Common Stock under the Note, converted into an agreed post-closing instrument, converted into equity, debt, securities, or obligations of an acquisition vehicle, Sellers, Borrower, or another agreed entity, or otherwise treated as provided in the Definitive Asset Sale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No Automatic Assumption by Buyer or Dot 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provided in the Definitive Asset Sale Documents or another written agreement signed by Buyer, neither Buyer, Buyer’s acquisition vehicle, nor Dot Works after the Asset Sale Closing shall assume or become liable for the Note, the Obligations, or any liabilities of Borrower, SEE ID, Parent,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 Dot Works Release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Asset Sale Closing and concurrent repayment, credit, conversion, or other agreed treatment of the Note, Buyer shall release pre-closing liens on Dot Works and Acquired Assets acquired by Buyer or its acquisition vehicle, except to the extent expressly assumed, continued, replaced, or restated in definitive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If Asset Sale Does Not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Asset Sale does not close before maturity or is earlier terminated, the Note remains outstanding and payable according to its terms, and Buyer retains all secured-creditor rights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SECURITY; GUARANTY;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shall be secured by the Security Agreement, IP Security Agreement, UCC financing statements, Puerto Rico security filings, and other collateral documents reasonably requested by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includes all assets of Borrower and SEE ID and, to the extent legally available and approved by Buyer, Acquired Assets and Dot Works assets before the Asset Sale Closing, including Intellectual Property (“IP”), software, source code, technology, inventory, equipment, accounts, contract rights, books and records, customer data, goodwill, proceeds, and after-acquired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JJ Astor.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acknowledges that all of the assets and properties of the Company, SEE ID, and Dot Works, including all of the Acquired Assets are subject to a first priority lien on and security interest in favor of J.J. Astor (the “Existing JJ Astor Lien”) Receipt of any required consent, waiver, intercreditor, payoff, or subordination agreement from J.J. Astor is a condition to funding unless waived by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 SEE ID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irrevocably and unconditionally guarantees the full and prompt payment and performance of all Obligations of Borrower under the Transaction Documents. SEE ID’s guaranty is a guaranty of payment and performance and not merely collection. This guaranty and any related liens will be released upon satisfaction and performance of all Obligations of the Borrower under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 Dot Works as Pre-Closing Grantor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Dot Works is not a Borrower and not a continuing guarantor. Dot Works joins solely as Seller Party, Pre-Closing Grantor, and covenant party with respect to Acquired Business, Acquired Assets, pre-closing security interests, Dot Works Transfer, and pre-closing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use proceeds solely for general working capital, transaction expenses, operating expenses, diligence support, D&amp;O insurance or tail policy premiums, and other Buyer-approved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 Preservation and No Unauthorized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and SEE ID shall, and shall cause Dot Works before closing to, preserve the business and collateral and, except for the Existing J.J. Astor Lien, not transfer, encumber, issue, pledge, license exclusively, or dispose of material Acquired Assets, Collateral, or Dot Works equity interests except in the ordinary course, for the Asset Sale, for Permitted Liens, for issuance of Conversion Shares under the Note, or with Buyer’s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 No Senior or Pari Passu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new senior or pari passu debt or liens may be incurred while the Obligations are outstanding, except the JJ Astor Lien and other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 Share Reservation.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Note remains outstanding, Borrower shall reserve authorized and unissued Common Stock sufficient to permit conversion up to the Exchange Cap, less shares already issued. Borrower need not reserve above the Exchange Cap unless Stockholder Approval is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 Trading Market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use commercially reasonable efforts to maintain the Common Stock listing or quotation and comply with applicable Trading Market rules. Borrower shall not issue Conversion Shares in violation of the Exchange Cap, Beneficial Ownership Limitation, securities laws, or Trading Market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 Registration Rights and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comply with the Registration Rights Agreement and Transfer Agent Letter. Failure to obtain Stockholder Approval, register shares above the Exchange Cap, or issue shares prohibited by law or Trading Market rules shall not create default, penalty, extra interest, make-whole, or price reset.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 Public Company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consult securities counsel regarding Form 8-K, Form D, SEC filings, stock-exchange notices, press releases, and blue-sky filings required in connection with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 Confidentiality and MNPI.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comply with confidentiality obligations. Buyer shall not trade in Borrower securities while in possession of material non-public information in violation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 Asset Sale Carveout.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Sale with Buyer or Buyer’s acquisition vehicle, including the Dot Works Transfer, shall not constitute a prohibited asset sale, default, or Event of Default if the Note is treated at closing in accordance with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Buyer Representations.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has authority to enter into the Transaction Documents; is acquiring the Note and Conversion Shares for investment and not distribution in violation of the Securities Act; is an accredited investor; can bear the investment risk; and did not purchase through general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 Borrower and SEE ID Representations.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and SEE ID jointly and severally represent and warrant that: (i) each is duly organized, validly existing, and in good standing in its jurisdiction of formation and has full power and authority to execute, deliver, and perform its obligations under the Transaction Documents; (ii) the Transaction Documents constitute legal, valid, and binding obligations of each, enforceable against each in accordance with their terms; (iii) the Note has been duly authorized, executed, and issued, and no further action is required for its validity; (iv) all shares of common stock issuable upon conversion of the Note up to the Exchange Cap (the “Conversion Shares”), when issued in accordance with the Note, will be duly and validly authorized, issued, fully paid, non-assessable, free and clear of all liens, encumbrances, preemptive rights, and transfer restrictions (other than those arising under applicable securities laws), and will not have been issued in violation of any agreement or applicable law; (v) all requisite corporate and other approvals, consents, and authorizations necessary in connection with the execution, delivery, and performance of the Transaction Documents and the issuance of the Conversion Shares have been obtained and are in full force and effect, and no further approvals will be required at the time of issuance; (vi) Borrower has provided complete, true, and correct information sufficient for Lender to independently calculate and verify the Exchange Cap, and such information remains accurate and has not omitted any fact necessary to make it not misleading; (vii) the execution, delivery, and performance of the Transaction Documents, and the consummation of the transactions contemplated thereby, do not and will not conflict with, violate, or result in a default under any organizational document, material contract, law, rule, regulation, or court or governmental order applicable to Borrower or SEE ID, other than conflicts or violations expressly disclosed in writing to and approved in writing by Lender prior to the date hereof; and (viii) all reports, schedules, forms, statements, and other documents filed by Borrower with the SEC (the “SEC Documents”) were, at the time filed (or as amended or superseded), true, complete, and correct in all material respects, complied in all material respects with applicable law, and did not omit to state any material fact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Dot Works Representations.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Dot Works represents only with respect to itself and its pre-closing obligations that it is duly organized, has authority to sign documents to which it is a party, is not a Borrower or continuing guarantor, owns or controls scheduled assets subject to permitted liens, and will cooperate with Puerto Rico filings and transfer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CONDITIONS TO BUYER’S FUNDING OBLIGATION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executed NPA, Note, Registration Rights Agreement, Transfer Agent Letter, Security Agreement, and IP Security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executed J.J. Astor consent, subordination and intercreditor agreement satisfactory to the Buyer and J.J. Astor;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pPr>
            <w:r>
              <w:rPr/>
              <w:t>board approvals for Borrower, SEE ID, and Dot Works, including approval of Note and Conversion Shares within the Exchange Cap;</w:t>
            </w:r>
          </w:p>
        </w:tc>
      </w:tr>
    </w:tbl>
    <w:p>
      <w:pPr>
        <w:pStyle w:val="TextBody"/>
        <w:bidi w:val="0"/>
        <w:spacing w:before="0" w:after="0"/>
        <w:ind w:left="0" w:right="0" w:hanging="0"/>
        <w:jc w:val="left"/>
        <w:rPr>
          <w:caps w:val="false"/>
          <w:smallCaps w:val="false"/>
        </w:rPr>
      </w:pPr>
      <w:r>
        <w:rPr>
          <w:caps w:val="false"/>
          <w:smallCaps w:val="false"/>
        </w:rPr>
        <w:t> </w:t>
      </w:r>
    </w:p>
    <w:tbl>
      <w:tblPr>
        <w:tblW w:w="8433" w:type="dxa"/>
        <w:jc w:val="left"/>
        <w:tblInd w:w="0" w:type="dxa"/>
        <w:tblLayout w:type="fixed"/>
        <w:tblCellMar>
          <w:top w:w="0" w:type="dxa"/>
          <w:left w:w="0" w:type="dxa"/>
          <w:bottom w:w="0" w:type="dxa"/>
          <w:right w:w="0" w:type="dxa"/>
        </w:tblCellMar>
      </w:tblPr>
      <w:tblGrid>
        <w:gridCol w:w="38"/>
        <w:gridCol w:w="170"/>
        <w:gridCol w:w="8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25" w:type="dxa"/>
            <w:tcBorders/>
            <w:vAlign w:val="center"/>
          </w:tcPr>
          <w:p>
            <w:pPr>
              <w:pStyle w:val="TableContents"/>
              <w:bidi w:val="0"/>
              <w:spacing w:before="0" w:after="283"/>
              <w:jc w:val="both"/>
              <w:rPr/>
            </w:pPr>
            <w:r>
              <w:rPr/>
              <w:t>collateral, lien, IP, capitalization, Exchange Cap, and Dot Works ownership schedules;</w:t>
            </w:r>
          </w:p>
        </w:tc>
      </w:tr>
    </w:tbl>
    <w:p>
      <w:pPr>
        <w:pStyle w:val="TextBody"/>
        <w:bidi w:val="0"/>
        <w:spacing w:before="0" w:after="0"/>
        <w:ind w:left="0" w:right="0" w:hanging="0"/>
        <w:jc w:val="left"/>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17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both"/>
              <w:rPr/>
            </w:pPr>
            <w:r>
              <w:rPr/>
              <w:t>wire instructions;</w:t>
            </w:r>
          </w:p>
        </w:tc>
      </w:tr>
    </w:tbl>
    <w:p>
      <w:pPr>
        <w:pStyle w:val="TextBody"/>
        <w:bidi w:val="0"/>
        <w:spacing w:before="0" w:after="0"/>
        <w:ind w:left="0" w:right="0" w:hanging="0"/>
        <w:jc w:val="left"/>
        <w:rPr>
          <w:caps w:val="false"/>
          <w:smallCaps w:val="false"/>
        </w:rPr>
      </w:pPr>
      <w:r>
        <w:rPr>
          <w:caps w:val="false"/>
          <w:smallCaps w:val="false"/>
        </w:rPr>
        <w:t> </w:t>
      </w:r>
    </w:p>
    <w:tbl>
      <w:tblPr>
        <w:tblW w:w="3408" w:type="dxa"/>
        <w:jc w:val="left"/>
        <w:tblInd w:w="0" w:type="dxa"/>
        <w:tblLayout w:type="fixed"/>
        <w:tblCellMar>
          <w:top w:w="0" w:type="dxa"/>
          <w:left w:w="0" w:type="dxa"/>
          <w:bottom w:w="0" w:type="dxa"/>
          <w:right w:w="0" w:type="dxa"/>
        </w:tblCellMar>
      </w:tblPr>
      <w:tblGrid>
        <w:gridCol w:w="38"/>
        <w:gridCol w:w="170"/>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both"/>
              <w:rPr/>
            </w:pPr>
            <w:r>
              <w:rPr/>
              <w:t>executed LOI unless waived; and</w:t>
            </w:r>
          </w:p>
        </w:tc>
      </w:tr>
    </w:tbl>
    <w:p>
      <w:pPr>
        <w:pStyle w:val="TextBody"/>
        <w:bidi w:val="0"/>
        <w:spacing w:before="0" w:after="0"/>
        <w:ind w:left="0" w:right="0" w:hanging="0"/>
        <w:jc w:val="left"/>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both"/>
              <w:rPr/>
            </w:pPr>
            <w:r>
              <w:rPr/>
              <w:t>no injunction, legal prohibition, or Material Adverse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or effectiveness of a registration statement and receipt of Stockholder Approval are not funding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EVENTS OF DEFAULT;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 include non-payment, material breach of Transaction Documents, breach of exclusivity, misrepresentation, unauthorized transfers or liens, bankruptcy/insolvency, invalidity of security documents, material impairment of Exchange Act reporting status, Material Adverse Effect, and repudiation of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 Conversion Share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issue Conversion Shares when required under the Note is an Event of Default only after any applicable cure period and only to the extent issuance is not prohibited by the Exchange Cap, Beneficial Ownership Limitation, securities laws, Trading Market rules, lack of Stockholder Approval, or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 No Default for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obtain Stockholder Approval, issue shares above the Exchange Cap, or register shares above the Exchange Cap shall not be an Event of Default and shall not create any penalty, additional interest, make-whole, reduced Conversion Price, or other coercive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Event of Default, Buyer may exercise remedies under the Transaction Documents and law, including acceleration, foreclosure, collection, setoff, specific performance, injunctive relief, and enforcement of the SEE ID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and SEE ID shall jointly and severally indemnify Buyer for losses arising from their breach of Transaction Documents. Dot Works indemnity is limited to fraud, willful misconduct, intentional misrepresentation, or breach of express pre-closing covenants. Buyer indemnifies Seller Parties for Buyer’s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GOVERNING LAW; JURISDICTION; JURY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 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governs, except to the extent Puerto Rico law mandatorily governs security interests, assets, filings, or obligations relating to Dot Works or assets located in Puerto Rico.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submit to Delaware courts, except Buyer may enforce security interests or seek provisional remedies where collateral is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 Jury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WAIVES TRIAL BY JURY TO THE FULLEST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amended only in writing signed by affected parties; may be executed electronically and in counterparts; binds permitted successors and assigns; and constitutes the entire agreement with the Note, Registration Rights Agreement, Transfer Agent Letter, Security Documents, LOI, and confidentiality agreements. In conflicts involving payment, maturity, interest, default, or conversion, the Note controls unless expressly stated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Beneficial Ownership Limitation” </w:t>
      </w:r>
      <w:r>
        <w:rPr>
          <w:rFonts w:ascii="Times New Roman;Times;Serif" w:hAnsi="Times New Roman;Times;Serif"/>
          <w:b w:val="false"/>
          <w:i w:val="false"/>
          <w:caps w:val="false"/>
          <w:smallCaps w:val="false"/>
          <w:sz w:val="20"/>
        </w:rPr>
        <w:t>means the 4.99% ownership limit, increaseable to 9.99% on 61 days’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Common Stock” </w:t>
      </w:r>
      <w:r>
        <w:rPr>
          <w:rFonts w:ascii="Times New Roman;Times;Serif" w:hAnsi="Times New Roman;Times;Serif"/>
          <w:b w:val="false"/>
          <w:i w:val="false"/>
          <w:caps w:val="false"/>
          <w:smallCaps w:val="false"/>
          <w:sz w:val="20"/>
        </w:rPr>
        <w:t>means Borrower’s common stock, par value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Conversion Shares” </w:t>
      </w:r>
      <w:r>
        <w:rPr>
          <w:rFonts w:ascii="Times New Roman;Times;Serif" w:hAnsi="Times New Roman;Times;Serif"/>
          <w:b w:val="false"/>
          <w:i w:val="false"/>
          <w:caps w:val="false"/>
          <w:smallCaps w:val="false"/>
          <w:sz w:val="20"/>
        </w:rPr>
        <w:t>means shares of Common Stock issued or issuable upon conversion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Exchange Cap” </w:t>
      </w:r>
      <w:r>
        <w:rPr>
          <w:rFonts w:ascii="Times New Roman;Times;Serif" w:hAnsi="Times New Roman;Times;Serif"/>
          <w:b w:val="false"/>
          <w:i w:val="false"/>
          <w:caps w:val="false"/>
          <w:smallCaps w:val="false"/>
          <w:sz w:val="20"/>
        </w:rPr>
        <w:t>means a number of Conversion Shares equal to 19.99% of the Common Stock or voting power outstanding immediately before issuance of the Note, less shares required to be aggregated under applicable Trading Market rules, subject to equitable stock-split and similar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xml:space="preserve"> means collectively, any and all intellectual property and proprietary rights, whether now existing or hereafter arising, in any jurisdiction throughout the world, including,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patents, patent applications (including provisionals, continuations, continuations-in-part, divisionals, reissues, reexaminations, substitutions, and extensions), inventions, discoveries, improvements, industrial designs, and utility models;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trademarks, service marks, trade names, brand names, logos, slogans, trade dress, corporate names, domain names, social media identifiers, and all goodwill associated therewith, together with all applications, registrations, renewals, and extensions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copyrights and works of authorship (whether registered or unregistered), including software (in source code and object code), databases, compilations, content, websites, audiovisual works, and mask works, and all registrations and applications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trade secrets and confidential or proprietary information, including know-how, inventions (whether patentable or not), concepts, ideas, algorithms, processes, methods, techniques, research and development, formulas, compositions, designs, drawings, specifications, customer and supplier lists, pricing and cost information, business plans, and other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rights in data and databases, including rights in the collection, use, storage, processing, and exploitation of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all licenses, sublicenses, consents, permissions, and other contractual rights to use or exploit any of the foregoing, including rights to sue for past, present, and future infringement, misappropriation, or other violations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registrations, applications, renewals, extensions, continuations, divisions, substitutions, and reissues of any of the foregoing;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all proceeds, products, accessions, and substitutions of or relating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 “Intellectual Property” includes all Intellectual Property owned, controlled, or used by, or purported to be owned, controlled, or used by, Borrower or any of its subsidiaries or affiliates, whether exclusively or non-exclusively, and all rights to enforce, collect damages for, and otherwise realize upon such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Market Price” </w:t>
      </w:r>
      <w:r>
        <w:rPr>
          <w:rFonts w:ascii="Times New Roman;Times;Serif" w:hAnsi="Times New Roman;Times;Serif"/>
          <w:b w:val="false"/>
          <w:i w:val="false"/>
          <w:caps w:val="false"/>
          <w:smallCaps w:val="false"/>
          <w:sz w:val="20"/>
        </w:rPr>
        <w:t>means the VWAP-based market price used in the Note to calculate the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Obligations” </w:t>
      </w:r>
      <w:r>
        <w:rPr>
          <w:rFonts w:ascii="Times New Roman;Times;Serif" w:hAnsi="Times New Roman;Times;Serif"/>
          <w:b w:val="false"/>
          <w:i w:val="false"/>
          <w:caps w:val="false"/>
          <w:smallCaps w:val="false"/>
          <w:sz w:val="20"/>
        </w:rPr>
        <w:t>means all payment, indemnity, reimbursement, secured, registration, and properly capped share-issuance obligations under the Transaction Documents, excluding any post-closing liability of Dot Works unless expressly assumed.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Registration Rights Agreement” </w:t>
      </w:r>
      <w:r>
        <w:rPr>
          <w:rFonts w:ascii="Times New Roman;Times;Serif" w:hAnsi="Times New Roman;Times;Serif"/>
          <w:b w:val="false"/>
          <w:i w:val="false"/>
          <w:caps w:val="false"/>
          <w:smallCaps w:val="false"/>
          <w:sz w:val="20"/>
        </w:rPr>
        <w:t>means the narrow registration rights agreement covering only Conversion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Securities” </w:t>
      </w:r>
      <w:r>
        <w:rPr>
          <w:rFonts w:ascii="Times New Roman;Times;Serif" w:hAnsi="Times New Roman;Times;Serif"/>
          <w:b w:val="false"/>
          <w:i w:val="false"/>
          <w:caps w:val="false"/>
          <w:smallCaps w:val="false"/>
          <w:sz w:val="20"/>
        </w:rPr>
        <w:t>means the Note and Conversion Shares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Stockholder Approval” </w:t>
      </w:r>
      <w:r>
        <w:rPr>
          <w:rFonts w:ascii="Times New Roman;Times;Serif" w:hAnsi="Times New Roman;Times;Serif"/>
          <w:b w:val="false"/>
          <w:i w:val="false"/>
          <w:caps w:val="false"/>
          <w:smallCaps w:val="false"/>
          <w:sz w:val="20"/>
        </w:rPr>
        <w:t>means stockholder approval required under Trading Market rules to issue Conversion Shares above the Exchange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Transfer Agent Letter” </w:t>
      </w:r>
      <w:r>
        <w:rPr>
          <w:rFonts w:ascii="Times New Roman;Times;Serif" w:hAnsi="Times New Roman;Times;Serif"/>
          <w:b w:val="false"/>
          <w:i w:val="false"/>
          <w:caps w:val="false"/>
          <w:smallCaps w:val="false"/>
          <w:sz w:val="20"/>
        </w:rPr>
        <w:t>means the narrow transfer agent letter covering only Conversion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NOTE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BORROWER /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1430"/>
        <w:gridCol w:w="2165"/>
        <w:gridCol w:w="75"/>
      </w:tblGrid>
      <w:tr>
        <w:trPr/>
        <w:tc>
          <w:tcPr>
            <w:tcW w:w="1430" w:type="dxa"/>
            <w:tcBorders/>
            <w:vAlign w:val="center"/>
          </w:tcPr>
          <w:p>
            <w:pPr>
              <w:pStyle w:val="TableContents"/>
              <w:bidi w:val="0"/>
              <w:spacing w:before="0" w:after="283"/>
              <w:jc w:val="left"/>
              <w:rPr/>
            </w:pPr>
            <w:r>
              <w:rPr/>
              <w:t>By:</w:t>
            </w:r>
          </w:p>
        </w:tc>
        <w:tc>
          <w:tcPr>
            <w:tcW w:w="2165" w:type="dxa"/>
            <w:tcBorders>
              <w:bottom w:val="single" w:sz="12" w:space="0" w:color="000000"/>
            </w:tcBorders>
            <w:tcMar>
              <w:bottom w:w="28" w:type="dxa"/>
            </w:tcMar>
            <w:vAlign w:val="center"/>
          </w:tcPr>
          <w:p>
            <w:pPr>
              <w:pStyle w:val="TableContents"/>
              <w:bidi w:val="0"/>
              <w:spacing w:before="0" w:after="283"/>
              <w:jc w:val="left"/>
              <w:rPr/>
            </w:pPr>
            <w:r>
              <w:rPr/>
              <w:t>/s/ Edmund Nabrotzky</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Name:</w:t>
            </w:r>
          </w:p>
        </w:tc>
        <w:tc>
          <w:tcPr>
            <w:tcW w:w="2165" w:type="dxa"/>
            <w:tcBorders/>
            <w:vAlign w:val="center"/>
          </w:tcPr>
          <w:p>
            <w:pPr>
              <w:pStyle w:val="TableContents"/>
              <w:bidi w:val="0"/>
              <w:spacing w:before="0" w:after="283"/>
              <w:jc w:val="left"/>
              <w:rPr/>
            </w:pPr>
            <w:r>
              <w:rPr/>
              <w:t>Edmund Nabrotzky</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Title/Capacity:</w:t>
            </w:r>
          </w:p>
        </w:tc>
        <w:tc>
          <w:tcPr>
            <w:tcW w:w="2165" w:type="dxa"/>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ID / SELLER PARTY / GRANTOR /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ID,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Nevada corporation</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1430"/>
        <w:gridCol w:w="2165"/>
        <w:gridCol w:w="75"/>
      </w:tblGrid>
      <w:tr>
        <w:trPr/>
        <w:tc>
          <w:tcPr>
            <w:tcW w:w="1430" w:type="dxa"/>
            <w:tcBorders/>
            <w:vAlign w:val="center"/>
          </w:tcPr>
          <w:p>
            <w:pPr>
              <w:pStyle w:val="TableContents"/>
              <w:bidi w:val="0"/>
              <w:spacing w:before="0" w:after="283"/>
              <w:jc w:val="left"/>
              <w:rPr/>
            </w:pPr>
            <w:r>
              <w:rPr/>
              <w:t>By:</w:t>
            </w:r>
          </w:p>
        </w:tc>
        <w:tc>
          <w:tcPr>
            <w:tcW w:w="2165" w:type="dxa"/>
            <w:tcBorders>
              <w:bottom w:val="single" w:sz="12" w:space="0" w:color="000000"/>
            </w:tcBorders>
            <w:tcMar>
              <w:bottom w:w="28" w:type="dxa"/>
            </w:tcMar>
            <w:vAlign w:val="center"/>
          </w:tcPr>
          <w:p>
            <w:pPr>
              <w:pStyle w:val="TableContents"/>
              <w:bidi w:val="0"/>
              <w:spacing w:before="0" w:after="283"/>
              <w:jc w:val="left"/>
              <w:rPr/>
            </w:pPr>
            <w:r>
              <w:rPr/>
              <w:t>/s/ Edmund Nabrotzky</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Name:</w:t>
            </w:r>
          </w:p>
        </w:tc>
        <w:tc>
          <w:tcPr>
            <w:tcW w:w="2165" w:type="dxa"/>
            <w:tcBorders/>
            <w:vAlign w:val="center"/>
          </w:tcPr>
          <w:p>
            <w:pPr>
              <w:pStyle w:val="TableContents"/>
              <w:bidi w:val="0"/>
              <w:spacing w:before="0" w:after="283"/>
              <w:jc w:val="left"/>
              <w:rPr/>
            </w:pPr>
            <w:r>
              <w:rPr/>
              <w:t>Edmund Nabrotzky</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Title/Capacity:</w:t>
            </w:r>
          </w:p>
        </w:tc>
        <w:tc>
          <w:tcPr>
            <w:tcW w:w="2165" w:type="dxa"/>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DOT WORKS / SELLER PARTY / PRE-CLOSING GRANTOR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DOT WORKS,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Puerto Rico corporation</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1430"/>
        <w:gridCol w:w="2165"/>
        <w:gridCol w:w="75"/>
      </w:tblGrid>
      <w:tr>
        <w:trPr/>
        <w:tc>
          <w:tcPr>
            <w:tcW w:w="1430" w:type="dxa"/>
            <w:tcBorders/>
            <w:vAlign w:val="center"/>
          </w:tcPr>
          <w:p>
            <w:pPr>
              <w:pStyle w:val="TableContents"/>
              <w:bidi w:val="0"/>
              <w:spacing w:before="0" w:after="283"/>
              <w:jc w:val="left"/>
              <w:rPr/>
            </w:pPr>
            <w:r>
              <w:rPr/>
              <w:t>By:</w:t>
            </w:r>
          </w:p>
        </w:tc>
        <w:tc>
          <w:tcPr>
            <w:tcW w:w="2165" w:type="dxa"/>
            <w:tcBorders>
              <w:bottom w:val="single" w:sz="12" w:space="0" w:color="000000"/>
            </w:tcBorders>
            <w:tcMar>
              <w:bottom w:w="28" w:type="dxa"/>
            </w:tcMar>
            <w:vAlign w:val="center"/>
          </w:tcPr>
          <w:p>
            <w:pPr>
              <w:pStyle w:val="TableContents"/>
              <w:bidi w:val="0"/>
              <w:spacing w:before="0" w:after="283"/>
              <w:jc w:val="left"/>
              <w:rPr/>
            </w:pPr>
            <w:r>
              <w:rPr/>
              <w:t>/s/ Edmund Nabrotzky</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Name:</w:t>
            </w:r>
          </w:p>
        </w:tc>
        <w:tc>
          <w:tcPr>
            <w:tcW w:w="2165" w:type="dxa"/>
            <w:tcBorders/>
            <w:vAlign w:val="center"/>
          </w:tcPr>
          <w:p>
            <w:pPr>
              <w:pStyle w:val="TableContents"/>
              <w:bidi w:val="0"/>
              <w:spacing w:before="0" w:after="283"/>
              <w:jc w:val="left"/>
              <w:rPr/>
            </w:pPr>
            <w:r>
              <w:rPr/>
              <w:t>Edmund Nabrotzky</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Title/Capacity:</w:t>
            </w:r>
          </w:p>
        </w:tc>
        <w:tc>
          <w:tcPr>
            <w:tcW w:w="2165" w:type="dxa"/>
            <w:tcBorders/>
            <w:vAlign w:val="center"/>
          </w:tcPr>
          <w:p>
            <w:pPr>
              <w:pStyle w:val="TableContents"/>
              <w:bidi w:val="0"/>
              <w:spacing w:before="0" w:after="283"/>
              <w:jc w:val="left"/>
              <w:rPr/>
            </w:pPr>
            <w:r>
              <w:rPr/>
              <w:t>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BUYER /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PHILLIPS EQUITIES &amp;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1430"/>
        <w:gridCol w:w="1475"/>
        <w:gridCol w:w="75"/>
      </w:tblGrid>
      <w:tr>
        <w:trPr/>
        <w:tc>
          <w:tcPr>
            <w:tcW w:w="1430" w:type="dxa"/>
            <w:tcBorders/>
            <w:vAlign w:val="center"/>
          </w:tcPr>
          <w:p>
            <w:pPr>
              <w:pStyle w:val="TableContents"/>
              <w:bidi w:val="0"/>
              <w:spacing w:before="0" w:after="283"/>
              <w:jc w:val="left"/>
              <w:rPr/>
            </w:pPr>
            <w:r>
              <w:rPr/>
              <w:t>By:</w:t>
            </w:r>
          </w:p>
        </w:tc>
        <w:tc>
          <w:tcPr>
            <w:tcW w:w="1475" w:type="dxa"/>
            <w:tcBorders>
              <w:bottom w:val="single" w:sz="12" w:space="0" w:color="000000"/>
            </w:tcBorders>
            <w:tcMar>
              <w:bottom w:w="28" w:type="dxa"/>
            </w:tcMar>
            <w:vAlign w:val="center"/>
          </w:tcPr>
          <w:p>
            <w:pPr>
              <w:pStyle w:val="TableContents"/>
              <w:bidi w:val="0"/>
              <w:spacing w:before="0" w:after="283"/>
              <w:jc w:val="left"/>
              <w:rPr/>
            </w:pPr>
            <w:r>
              <w:rPr/>
              <w:t>/s/ Don Phillips</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Name:</w:t>
            </w:r>
          </w:p>
        </w:tc>
        <w:tc>
          <w:tcPr>
            <w:tcW w:w="1475" w:type="dxa"/>
            <w:tcBorders/>
            <w:vAlign w:val="center"/>
          </w:tcPr>
          <w:p>
            <w:pPr>
              <w:pStyle w:val="TableContents"/>
              <w:bidi w:val="0"/>
              <w:spacing w:before="0" w:after="283"/>
              <w:jc w:val="left"/>
              <w:rPr/>
            </w:pPr>
            <w:r>
              <w:rPr/>
              <w:t>Don Phillips</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Title/Capacity:</w:t>
            </w:r>
          </w:p>
        </w:tc>
        <w:tc>
          <w:tcPr>
            <w:tcW w:w="1475" w:type="dxa"/>
            <w:tcBorders/>
            <w:vAlign w:val="center"/>
          </w:tcPr>
          <w:p>
            <w:pPr>
              <w:pStyle w:val="TableContents"/>
              <w:bidi w:val="0"/>
              <w:spacing w:before="0" w:after="283"/>
              <w:jc w:val="left"/>
              <w:rPr/>
            </w:pPr>
            <w:r>
              <w:rPr/>
              <w:t>Manager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SCHEDULE</w:t>
      </w:r>
    </w:p>
    <w:p>
      <w:pPr>
        <w:pStyle w:val="TextBody"/>
        <w:bidi w:val="0"/>
        <w:spacing w:before="0" w:after="0"/>
        <w:ind w:left="0" w:right="0" w:hanging="0"/>
        <w:jc w:val="left"/>
        <w:rPr>
          <w:caps w:val="false"/>
          <w:smallCaps w:val="false"/>
        </w:rPr>
      </w:pPr>
      <w:r>
        <w:rPr>
          <w:caps w:val="false"/>
          <w:smallCaps w:val="false"/>
        </w:rPr>
        <w:t> </w:t>
      </w:r>
    </w:p>
    <w:tbl>
      <w:tblPr>
        <w:tblW w:w="5413" w:type="dxa"/>
        <w:jc w:val="left"/>
        <w:tblInd w:w="0" w:type="dxa"/>
        <w:tblLayout w:type="fixed"/>
        <w:tblCellMar>
          <w:top w:w="0" w:type="dxa"/>
          <w:left w:w="0" w:type="dxa"/>
          <w:bottom w:w="28" w:type="dxa"/>
          <w:right w:w="0" w:type="dxa"/>
        </w:tblCellMar>
      </w:tblPr>
      <w:tblGrid>
        <w:gridCol w:w="2360"/>
        <w:gridCol w:w="60"/>
        <w:gridCol w:w="149"/>
        <w:gridCol w:w="860"/>
        <w:gridCol w:w="60"/>
        <w:gridCol w:w="60"/>
        <w:gridCol w:w="265"/>
        <w:gridCol w:w="1524"/>
        <w:gridCol w:w="75"/>
      </w:tblGrid>
      <w:tr>
        <w:trPr/>
        <w:tc>
          <w:tcPr>
            <w:tcW w:w="2360" w:type="dxa"/>
            <w:tcBorders>
              <w:bottom w:val="single" w:sz="12" w:space="0" w:color="000000"/>
            </w:tcBorders>
            <w:vAlign w:val="center"/>
          </w:tcPr>
          <w:p>
            <w:pPr>
              <w:pStyle w:val="TableContents"/>
              <w:bidi w:val="0"/>
              <w:spacing w:before="0" w:after="283"/>
              <w:jc w:val="left"/>
              <w:rPr>
                <w:b/>
              </w:rPr>
            </w:pPr>
            <w:r>
              <w:rPr>
                <w:b/>
              </w:rPr>
              <w:t>Buyer / Lender</w:t>
            </w:r>
          </w:p>
        </w:tc>
        <w:tc>
          <w:tcPr>
            <w:tcW w:w="60" w:type="dxa"/>
            <w:tcBorders/>
            <w:tcMar>
              <w:bottom w:w="0" w:type="dxa"/>
            </w:tcMar>
            <w:vAlign w:val="center"/>
          </w:tcPr>
          <w:p>
            <w:pPr>
              <w:pStyle w:val="TableContents"/>
              <w:bidi w:val="0"/>
              <w:spacing w:before="0" w:after="283"/>
              <w:jc w:val="center"/>
              <w:rPr/>
            </w:pPr>
            <w:r>
              <w:rPr/>
              <w:t> </w:t>
            </w:r>
          </w:p>
        </w:tc>
        <w:tc>
          <w:tcPr>
            <w:tcW w:w="1009" w:type="dxa"/>
            <w:gridSpan w:val="2"/>
            <w:tcBorders>
              <w:bottom w:val="single" w:sz="12" w:space="0" w:color="000000"/>
            </w:tcBorders>
            <w:vAlign w:val="center"/>
          </w:tcPr>
          <w:p>
            <w:pPr>
              <w:pStyle w:val="TableContents"/>
              <w:bidi w:val="0"/>
              <w:spacing w:before="0" w:after="283"/>
              <w:jc w:val="center"/>
              <w:rPr>
                <w:b/>
              </w:rPr>
            </w:pPr>
            <w:r>
              <w:rPr>
                <w:b/>
              </w:rPr>
              <w:t xml:space="preserve">Note </w:t>
              <w:br/>
              <w:t xml:space="preserve">Principal </w:t>
              <w:br/>
              <w:t>Amount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89" w:type="dxa"/>
            <w:gridSpan w:val="2"/>
            <w:tcBorders>
              <w:bottom w:val="single" w:sz="12" w:space="0" w:color="000000"/>
            </w:tcBorders>
            <w:vAlign w:val="center"/>
          </w:tcPr>
          <w:p>
            <w:pPr>
              <w:pStyle w:val="TableContents"/>
              <w:bidi w:val="0"/>
              <w:spacing w:before="0" w:after="283"/>
              <w:jc w:val="center"/>
              <w:rPr>
                <w:b/>
              </w:rPr>
            </w:pPr>
            <w:r>
              <w:rPr>
                <w:b/>
              </w:rPr>
              <w:t xml:space="preserve">Note </w:t>
              <w:br/>
              <w:t xml:space="preserve">Purchase Price / </w:t>
              <w:br/>
              <w:t>Funding Amount</w:t>
            </w:r>
          </w:p>
        </w:tc>
        <w:tc>
          <w:tcPr>
            <w:tcW w:w="75" w:type="dxa"/>
            <w:tcBorders/>
            <w:tcMar>
              <w:bottom w:w="0" w:type="dxa"/>
            </w:tcMar>
            <w:vAlign w:val="center"/>
          </w:tcPr>
          <w:p>
            <w:pPr>
              <w:pStyle w:val="TableContents"/>
              <w:bidi w:val="0"/>
              <w:spacing w:before="0" w:after="283"/>
              <w:jc w:val="center"/>
              <w:rPr/>
            </w:pPr>
            <w:r>
              <w:rPr/>
              <w:t> </w:t>
            </w:r>
          </w:p>
        </w:tc>
      </w:tr>
      <w:tr>
        <w:trPr/>
        <w:tc>
          <w:tcPr>
            <w:tcW w:w="2360" w:type="dxa"/>
            <w:tcBorders/>
            <w:shd w:fill="CCEEFF" w:val="clear"/>
            <w:tcMar>
              <w:bottom w:w="0" w:type="dxa"/>
            </w:tcMar>
            <w:vAlign w:val="center"/>
          </w:tcPr>
          <w:p>
            <w:pPr>
              <w:pStyle w:val="TableContents"/>
              <w:bidi w:val="0"/>
              <w:spacing w:before="0" w:after="283"/>
              <w:jc w:val="left"/>
              <w:rPr/>
            </w:pPr>
            <w:r>
              <w:rPr/>
              <w:t>Phillips Equities &amp; Trust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w:t>
            </w:r>
          </w:p>
        </w:tc>
        <w:tc>
          <w:tcPr>
            <w:tcW w:w="860"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jc w:val="left"/>
              <w:rPr/>
            </w:pPr>
            <w:r>
              <w:rPr/>
              <w:t>$</w:t>
            </w:r>
          </w:p>
        </w:tc>
        <w:tc>
          <w:tcPr>
            <w:tcW w:w="1524" w:type="dxa"/>
            <w:tcBorders/>
            <w:shd w:fill="CCEEFF" w:val="clear"/>
            <w:tcMar>
              <w:bottom w:w="0" w:type="dxa"/>
            </w:tcMar>
            <w:vAlign w:val="center"/>
          </w:tcPr>
          <w:p>
            <w:pPr>
              <w:pStyle w:val="TableContents"/>
              <w:bidi w:val="0"/>
              <w:spacing w:before="0" w:after="283"/>
              <w:jc w:val="right"/>
              <w:rPr/>
            </w:pPr>
            <w:r>
              <w:rPr/>
              <w:t>500,000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Form of Senior Secured Convertible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 Form of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 Form of Intellectual Property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 - Form of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 - Form of Transfer Agent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 - JJ Astor Consent / Intercreditor / Payoff / Subordination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G - Collateral and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30650101ex10-5.htm"/>
      <w:bookmarkStart w:id="26" w:name="ksea030650101ex105"/>
      <w:bookmarkEnd w:id="25"/>
      <w:bookmarkEnd w:id="26"/>
      <w:r>
        <w:rPr>
          <w:rFonts w:ascii="Times New Roman;Times;Serif" w:hAnsi="Times New Roman;Times;Serif"/>
          <w:b/>
          <w:i w:val="false"/>
          <w:caps w:val="false"/>
          <w:smallCaps w:val="false"/>
          <w:sz w:val="20"/>
        </w:rPr>
        <w:t>Exhibit 10.5</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JUNIOR SECURED CONVERTIBLE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REPRESENTED BY THIS NOTE AND THE SHARES OF COMMON STOCK ISSUABLE UPON CONVERSION HAVE NOT BEEN REGISTERED UNDER THE SECURITIES ACT OF 1933, AS AMENDED, OR APPLICABLE STATE SECURITIES LAWS. THEY MAY NOT BE OFFERED, SOLD, TRANSFERRED, PLEDGED, OR ASSIGNED EXCEPT PURSUANT TO AN EFFECTIVE REGISTRATION STATEMENT OR AN AVAILABLE EXEMPTION FROM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PURCHASE PRICE IS $500,000 IN CASH, AND THE ORIGINAL PRINCIPAL AMOUNT IS $500,000.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IS SUBJECT TO A FIXED 19.99% EXCHANGE CAP AND A BENEFICIAL OWNERSHIP LIMITATION. NO FAILURE TO OBTAIN STOCKHOLDER APPROVAL TO ISSUE SHARES ABOVE THE EXCHANGE CAP SHALL RESULT IN DEFAULT, PENALTY, LIQUIDATED DAMAGES, INCREASED INTEREST, REDUCED CONVERSION PRICE, OR OTHER COERCIVE ECONOMIC CONSEQUENCE.</w:t>
      </w:r>
    </w:p>
    <w:p>
      <w:pPr>
        <w:pStyle w:val="TextBody"/>
        <w:bidi w:val="0"/>
        <w:spacing w:before="0" w:after="0"/>
        <w:ind w:left="0" w:right="0" w:hanging="0"/>
        <w:jc w:val="left"/>
        <w:rPr>
          <w:caps w:val="false"/>
          <w:smallCaps w:val="false"/>
        </w:rPr>
      </w:pPr>
      <w:r>
        <w:rPr>
          <w:caps w:val="false"/>
          <w:smallCaps w:val="false"/>
        </w:rPr>
        <w:t>  </w:t>
      </w:r>
    </w:p>
    <w:tbl>
      <w:tblPr>
        <w:tblW w:w="7745" w:type="dxa"/>
        <w:jc w:val="left"/>
        <w:tblInd w:w="-10" w:type="dxa"/>
        <w:tblLayout w:type="fixed"/>
        <w:tblCellMar>
          <w:top w:w="28" w:type="dxa"/>
          <w:left w:w="60" w:type="dxa"/>
          <w:bottom w:w="28" w:type="dxa"/>
          <w:right w:w="60" w:type="dxa"/>
        </w:tblCellMar>
      </w:tblPr>
      <w:tblGrid>
        <w:gridCol w:w="2330"/>
        <w:gridCol w:w="2030"/>
        <w:gridCol w:w="1220"/>
        <w:gridCol w:w="2165"/>
      </w:tblGrid>
      <w:tr>
        <w:trPr/>
        <w:tc>
          <w:tcPr>
            <w:tcW w:w="23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Original Principal Amount</w:t>
            </w:r>
          </w:p>
        </w:tc>
        <w:tc>
          <w:tcPr>
            <w:tcW w:w="20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$500,000.00</w:t>
            </w:r>
          </w:p>
        </w:tc>
        <w:tc>
          <w:tcPr>
            <w:tcW w:w="12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Issue Date</w:t>
            </w:r>
          </w:p>
        </w:tc>
        <w:tc>
          <w:tcPr>
            <w:tcW w:w="21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June 23, 2026</w:t>
            </w:r>
          </w:p>
        </w:tc>
      </w:tr>
      <w:tr>
        <w:trPr/>
        <w:tc>
          <w:tcPr>
            <w:tcW w:w="23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Holder</w:t>
            </w:r>
          </w:p>
        </w:tc>
        <w:tc>
          <w:tcPr>
            <w:tcW w:w="20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Phillips Equities &amp; Trust</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sz w:val="20"/>
              </w:rPr>
            </w:pPr>
            <w:r>
              <w:rPr>
                <w:b/>
                <w:sz w:val="20"/>
              </w:rPr>
              <w:t>Maturity Date</w:t>
            </w:r>
          </w:p>
        </w:tc>
        <w:tc>
          <w:tcPr>
            <w:tcW w:w="2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12 months after Issue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CID HOLDCO, INC., a Delaware corporation (the “Borrower” or “Company”), promises to pay to the order of PHILLIPS EQUITIES &amp; TRUST, LLC a Delaware limited liability Company, or its registered assigns (the “Holder”), the principal amount of FIVE HUNDRED THOUSAND DOLLARS ($500,000.00), together with interest and other amounts payable under this Junior Secured Convertible Promissory Note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issued pursuant to a Note Purchase Agreement dated June __, 2026 by and among Borrower, SEE ID, Inc., Dot Works, Inc., and Holder (the “Purchase Agreement”) and in connection with the proposed Asset Sale described in the LOI.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 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Original principal is $500,000, reduced by repayments, credits, conversions, setoffs, or other satisfaction under this Note or Definitive Asset Sale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accrues at 6.0% per annum, simple interest, computed on a 365-day year for actual days elapsed.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Default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and during an Event of Default, outstanding Obligations bear interest at 12.0% per annum or the maximum lawful rate if lower.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repaid, credited, converted, accelerated, or otherwise satisfied, all amounts are due on the 12-month anniversary of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Payments and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shall be made in U.S. dollars by wire or immediately available funds. Borrower may not prepay before maturity without Holder’s prior written consent, except repayment elected by Holder at Asset Sale Closing or required by definitive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 COMMON STOCK 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Optional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Issue Date and before this Note is satisfied in full, Holder may convert all or part of outstanding principal, accrued interest, and other amounts due (the “Conversion Amount”) into shares of Common Stock at the Conversion Price, subject to the Exchange Cap, Beneficial Ownership Limitation, securities laws, and Trading Market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equals 80% of Market Price. “Market Price” means the average VWAP of Common Stock for the five consecutive Trading Days ending on the Trading Day immediately preceding the Conversion Date. If VWAP is unavailable, a closing sale price or other market price from a nationally recognized market data source may be used. The Conversion Price adjusts equitably for stock splits, stock dividends, combinations, recapitalizations, reclassifications, and similar events. The Conversion Price may not be below par value; if the formula is below par, the Conversion Price equals par and any non-convertible amount remains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Conversion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Shares equal the Conversion Amount divided by the Conversion Price, rounded down to the nearest whole share. No fractional shares will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Exchange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not issue, and Holder shall not receive, Conversion Shares above the Exchange Cap unless required Stockholder Approval is obtained. The Exchange Cap is a hard cap. Any conversion exceeding the Exchange Cap is effective only to the permitted extent, and the excess Conversion Amount remains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No Coercive Penalty for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obtain Stockholder Approval shall not be an Event of Default, shall not increase interest or principal, shall not reduce the Conversion Price, shall not create any penalty, liquidated damages, redemption premium, make-whole, default conversion price, or other economic consequence, and shall not otherwise alter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not issue Conversion Shares if, after issuance, Holder and affiliates would beneficially own more than 4.99% of outstanding Common Stock. Holder may increase the limitation to any percentage not exceeding 9.99% on 61 days’ prior written notice. Beneficial ownership is calculated under Section 13(d) of the Exchange Act and related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 Conversion Notice and Mechanics.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shall deliver a Notice of Conversion substantially in Exhibit A by email or other permitted notice method. The Notice must state the Conversion Amount, Conversion Date, Market Price, Conversion Price, requested Conversion Shares, and Holder’s certification regarding the Beneficial Ownership Limitation. Subject to applicable limits, Borrower shall use commercially reasonable efforts to cause the Transfer Agent to issue Conversion Shares within three Trading Days after receipt of a valid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Restricted Shares; Legends; DWAC.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registered or eligible for issuance without legend under Rule 144 (if available) or another available exemption supported by an opinion reasonably acceptable to Borrower and Transfer Agent, Conversion Shares will be restricted securities bearing a restrictive legend. DTC/DWAC delivery is required only when legally available, operationally available, and consistent with the Transfer Agent Letter, an effective registration statement, or a valid exemption.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Reservation.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reserve authorized and unissued Common Stock sufficient to permit conversion up to the Exchange Cap, less shares already issued. Borrower need not reserve shares above the Exchange Cap unless Stockholder Approval is obtained. Failure to reserve or issue shares above the Exchange Cap is not a default or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2.10 No Toxic Features.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has no full-ratchet anti-dilution, most favored nation, default conversion price, $0.01 conversion price, additional principal adjustment, ELOC cross-default, warrant coverage, or conversion-price reset other than the 20% discount to Market Price and equitable stock-split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 TREATMENT AT ASSET SALE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Holder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Asset Sale Closing, all amounts due may, at Holder’s option, be credited against the Asset Purchase Price, repaid in cash, converted into Common Stock under Article II, converted into an agreed post-closing instrument, converted into equity, debt, securities, or obligations of an acquisition vehicle, Sellers, Borrower, or another agreed entity, or otherwise treated in Definitive Asset Sale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Dot Works Release and No Assumption.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agreed in Definitive Asset Sale Documents, neither Buyer, Buyer’s acquisition vehicle, nor Dot Works after closing assumes this Note or Seller liabilities. Upon closing and concurrent treatment of this Note, Holder shall release pre-closing liens on Dot Works and Acquired Assets acquired by Buyer except as expressly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If Asset Sale Does Not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Asset Sale does not close before maturity or is terminated, this Note remains outstanding and payable, and Holder retains all secured-creditor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 Junior Secured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a junior secured obligation of Borrower secured by Security Documents, subject only to the Existing JJ Astor Lien and Permitted Liens. Issuance of this Note and all rights of the Buyer in the Collateral set for below is subject to the prior payment in full of all obligations owed by Borrower, Dot Works and SEE ID to J.J. Astor &amp; Co. (“JJ Astor) as set forth in the subordination and intercreditor agreement between Buyer and JJ Astor dated of even date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 Collateral and Perfection.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includes Borrower and SEE ID assets and, to the extent legally available and approved, Acquired Assets and Dot Works assets before closing, including Intellectual Property (“IP”), software, source code, inventory, equipment, accounts, contract rights, books and records, customer data, goodwill, and proceeds. Borrower shall cause all reasonably requested UCC, Puerto Rico, IP, control, lien release, intercreditor, and perfection documents to be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 Dot Works Limited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Dot Works is not Borrower and is not a continuing guarantor. Dot Works’ obligations are limited to pre-closing seller, covenant, and collateral obligations expressly set forth in the Purchase Agreement and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 -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shall be used only for working capital, transaction expenses, operating expenses, diligence support, D&amp;O/tail premiums, and Holder-approved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 Preservation and No Unauthorized Liens/Transfers.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cause the business and collateral to be preserved and shall not permit unauthorized transfers, liens, or junior/pari debt except in the ordinary course, for the Asset Sale, for Permitted Liens, for Conversion Shares, or with Holder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Registration Rights and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comply with the Registration Rights Agreement and Transfer Agent Letter. No inability to issue or register shares due to the Exchange Cap, Beneficial Ownership Limitation, law, Trading Market rules, or lack of Stockholder Approval is an Event of Default or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 Public Company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remain subject to Exchange Act reporting and consult counsel regarding Form 8-K, Form D, SEC filings, stock-exchange notices, press releases, and blue-sky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 Confidentiality/MNPI.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shall comply with confidentiality obligations and securities laws regarding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 Asset Sale Carveout.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Sale, including the Dot Works Transfer, shall not constitute a prohibited disposition, merger, change of control, default, or Event of Default if this Note is treated at closing under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 -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include non-payment after notice and cure; failure to issue Conversion Shares when required and not prohibited by cap, ownership limit, law, Trading Market rules, lack of Stockholder Approval, or Transfer Agent procedures; material breach of Transaction Documents or binding LOI provisions; misrepresentation; unauthorized transfers, liens, or debt; insolvency; material judgment; invalidity of security documents; Material Adverse Effect; cross-default materially impairing collateral or rights; and challenge to validity.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 No Default for Stockholder Approval or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obtain Stockholder Approval, issue shares above the Exchange Cap, register shares above the Exchange Cap, or issue shares prohibited by ownership limits, securities laws, Trading Market rules, or other law shall not be an Event of Default and creates no penalty, additional interest, reduced Conversion Price, make-whole, or liquidated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 Notice and Cure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based on non-payment shall occur unless Holder has delivered written notice of such non-payment to Borrower and Borrower has failed to cure such non-payment within five business days after receipt of such notice. No Event of Default based on a curable non-monetary breach shall occur unless Holder has delivered written notice describing the breach in reasonable detail and Borrower has failed to cure such breach within thirty days after receipt of such notice; provided that no notice or cure period shall apply to insolvency, bankruptcy, unauthorized transfers of material collateral, fraud, intentional misconduct, or any breach that by its nature cannot reasonably be 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 -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 Event of Default, Holder may accelerate all amounts, apply Default Rate, exercise secured-creditor remedies, seek specific performance and injunctive relief, enforce any guaranty, and recover reasonable documented enforcement costs. Remedies are cumulative.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 -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follow the Purchase Agreement. This Note may be amended only in writing signed by Borrower and Holder, and affected SEE ID/Dot Works if applicable. Delaware law governs, with Puerto Rico carveouts for Dot Works collateral. Parties submit to Delaware courts, except enforcement where collateral is located. Jury trial is waived. This Note binds permitted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 -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Common Stock” </w:t>
      </w:r>
      <w:r>
        <w:rPr>
          <w:rFonts w:ascii="Times New Roman;Times;Serif" w:hAnsi="Times New Roman;Times;Serif"/>
          <w:b w:val="false"/>
          <w:i w:val="false"/>
          <w:caps w:val="false"/>
          <w:smallCaps w:val="false"/>
          <w:sz w:val="20"/>
        </w:rPr>
        <w:t>means Borrower’s common stock, par value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Conversion Amount” </w:t>
      </w:r>
      <w:r>
        <w:rPr>
          <w:rFonts w:ascii="Times New Roman;Times;Serif" w:hAnsi="Times New Roman;Times;Serif"/>
          <w:b w:val="false"/>
          <w:i w:val="false"/>
          <w:caps w:val="false"/>
          <w:smallCaps w:val="false"/>
          <w:sz w:val="20"/>
        </w:rPr>
        <w:t>means principal, accrued interest, and other amounts Holder elects to convert.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Conversion Price” </w:t>
      </w:r>
      <w:r>
        <w:rPr>
          <w:rFonts w:ascii="Times New Roman;Times;Serif" w:hAnsi="Times New Roman;Times;Serif"/>
          <w:b w:val="false"/>
          <w:i w:val="false"/>
          <w:caps w:val="false"/>
          <w:smallCaps w:val="false"/>
          <w:sz w:val="20"/>
        </w:rPr>
        <w:t>means 80% of Market Price, subject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Conversion Shares” </w:t>
      </w:r>
      <w:r>
        <w:rPr>
          <w:rFonts w:ascii="Times New Roman;Times;Serif" w:hAnsi="Times New Roman;Times;Serif"/>
          <w:b w:val="false"/>
          <w:i w:val="false"/>
          <w:caps w:val="false"/>
          <w:smallCaps w:val="false"/>
          <w:sz w:val="20"/>
        </w:rPr>
        <w:t>means shares of Common Stock issued or issuable upon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Exchange Cap” </w:t>
      </w:r>
      <w:r>
        <w:rPr>
          <w:rFonts w:ascii="Times New Roman;Times;Serif" w:hAnsi="Times New Roman;Times;Serif"/>
          <w:b w:val="false"/>
          <w:i w:val="false"/>
          <w:caps w:val="false"/>
          <w:smallCaps w:val="false"/>
          <w:sz w:val="20"/>
        </w:rPr>
        <w:t>means 19.99% of Common Stock or voting power outstanding immediately before the Note issuance, less shares required to be aggregated under Trading Market rules, subject to equitable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xml:space="preserve"> means collectively, any and all intellectual property and proprietary rights, whether now existing or hereafter arising, in any jurisdiction throughout the world, including,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patents, patent applications (including provisionals, continuations, continuations-in-part, divisionals, reissues, reexaminations, substitutions, and extensions), inventions, discoveries, improvements, industrial designs, and utility models;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trademarks, service marks, trade names, brand names, logos, slogans, trade dress, corporate names, domain names, social media identifiers, and all goodwill associated therewith, together with all applications, registrations, renewals, and extensions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copyrights and works of authorship (whether registered or unregistered), including software (in source code and object code), databases, compilations, content, websites, audiovisual works, and mask works, and all registrations and applications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trade secrets and confidential or proprietary information, including know-how, inventions (whether patentable or not), concepts, ideas, algorithms, processes, methods, techniques, research and development, formulas, compositions, designs, drawings, specifications, customer and supplier lists, pricing and cost information, business plans, and other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rights in data and databases, including rights in the collection, use, storage, processing, and exploitation of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all licenses, sublicenses, consents, permissions, and other contractual rights to use or exploit any of the foregoing, including rights to sue for past, present, and future infringement, misappropriation, or other violations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registrations, applications, renewals, extensions, continuations, divisions, substitutions, and reissues of any of the foregoing;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all proceeds, products, accessions, and substitutions of or relating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 “Intellectual Property” includes all Intellectual Property owned, controlled, or used by, or purported to be owned, controlled, or used by, Borrower or any of its subsidiaries or affiliates, whether exclusively or non-exclusively, and all rights to enforce, collect damages for, and otherwise realize upon such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Market Price” </w:t>
      </w:r>
      <w:r>
        <w:rPr>
          <w:rFonts w:ascii="Times New Roman;Times;Serif" w:hAnsi="Times New Roman;Times;Serif"/>
          <w:b w:val="false"/>
          <w:i w:val="false"/>
          <w:caps w:val="false"/>
          <w:smallCaps w:val="false"/>
          <w:sz w:val="20"/>
        </w:rPr>
        <w:t>means average VWAP for the five Trading Days ending on the Trading Day immediately before the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Stockholder Approval” </w:t>
      </w:r>
      <w:r>
        <w:rPr>
          <w:rFonts w:ascii="Times New Roman;Times;Serif" w:hAnsi="Times New Roman;Times;Serif"/>
          <w:b w:val="false"/>
          <w:i w:val="false"/>
          <w:caps w:val="false"/>
          <w:smallCaps w:val="false"/>
          <w:sz w:val="20"/>
        </w:rPr>
        <w:t>means stockholder approval required by Trading Market rules to issue Conversion Shares above the Exchange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Trading Market” </w:t>
      </w:r>
      <w:r>
        <w:rPr>
          <w:rFonts w:ascii="Times New Roman;Times;Serif" w:hAnsi="Times New Roman;Times;Serif"/>
          <w:b w:val="false"/>
          <w:i w:val="false"/>
          <w:caps w:val="false"/>
          <w:smallCaps w:val="false"/>
          <w:sz w:val="20"/>
        </w:rPr>
        <w:t>means Nasdaq or the principal securities exchange or quotation system for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VWAP” </w:t>
      </w:r>
      <w:r>
        <w:rPr>
          <w:rFonts w:ascii="Times New Roman;Times;Serif" w:hAnsi="Times New Roman;Times;Serif"/>
          <w:b w:val="false"/>
          <w:i w:val="false"/>
          <w:caps w:val="false"/>
          <w:smallCaps w:val="false"/>
          <w:sz w:val="20"/>
        </w:rPr>
        <w:t>means volume weighted average price reported by Bloomberg, Nasdaq, or another recognized data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JUNIOR SECURED CONVERTIBLE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1430"/>
        <w:gridCol w:w="2165"/>
        <w:gridCol w:w="75"/>
      </w:tblGrid>
      <w:tr>
        <w:trPr/>
        <w:tc>
          <w:tcPr>
            <w:tcW w:w="1430" w:type="dxa"/>
            <w:tcBorders/>
            <w:vAlign w:val="center"/>
          </w:tcPr>
          <w:p>
            <w:pPr>
              <w:pStyle w:val="TableContents"/>
              <w:bidi w:val="0"/>
              <w:spacing w:before="0" w:after="283"/>
              <w:jc w:val="left"/>
              <w:rPr/>
            </w:pPr>
            <w:r>
              <w:rPr/>
              <w:t>By:</w:t>
            </w:r>
          </w:p>
        </w:tc>
        <w:tc>
          <w:tcPr>
            <w:tcW w:w="2165" w:type="dxa"/>
            <w:tcBorders>
              <w:bottom w:val="single" w:sz="12" w:space="0" w:color="000000"/>
            </w:tcBorders>
            <w:tcMar>
              <w:bottom w:w="28" w:type="dxa"/>
            </w:tcMar>
            <w:vAlign w:val="center"/>
          </w:tcPr>
          <w:p>
            <w:pPr>
              <w:pStyle w:val="TableContents"/>
              <w:bidi w:val="0"/>
              <w:spacing w:before="0" w:after="283"/>
              <w:jc w:val="left"/>
              <w:rPr/>
            </w:pPr>
            <w:r>
              <w:rPr/>
              <w:t>/s/ Edmund Nabrotzky</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Name:</w:t>
            </w:r>
          </w:p>
        </w:tc>
        <w:tc>
          <w:tcPr>
            <w:tcW w:w="2165" w:type="dxa"/>
            <w:tcBorders/>
            <w:vAlign w:val="center"/>
          </w:tcPr>
          <w:p>
            <w:pPr>
              <w:pStyle w:val="TableContents"/>
              <w:bidi w:val="0"/>
              <w:spacing w:before="0" w:after="283"/>
              <w:jc w:val="left"/>
              <w:rPr/>
            </w:pPr>
            <w:r>
              <w:rPr/>
              <w:t>Edmund Nabrotzky</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Title/Capacity:</w:t>
            </w:r>
          </w:p>
        </w:tc>
        <w:tc>
          <w:tcPr>
            <w:tcW w:w="2165" w:type="dxa"/>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ACKNOWLEDGED AND ACCEPTED BY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PHILLIPS EQUITIES &amp;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1430"/>
        <w:gridCol w:w="1490"/>
        <w:gridCol w:w="75"/>
      </w:tblGrid>
      <w:tr>
        <w:trPr/>
        <w:tc>
          <w:tcPr>
            <w:tcW w:w="1430" w:type="dxa"/>
            <w:tcBorders/>
            <w:vAlign w:val="center"/>
          </w:tcPr>
          <w:p>
            <w:pPr>
              <w:pStyle w:val="TableContents"/>
              <w:bidi w:val="0"/>
              <w:spacing w:before="0" w:after="283"/>
              <w:jc w:val="left"/>
              <w:rPr/>
            </w:pPr>
            <w:r>
              <w:rPr/>
              <w:t>By:</w:t>
            </w:r>
          </w:p>
        </w:tc>
        <w:tc>
          <w:tcPr>
            <w:tcW w:w="1490" w:type="dxa"/>
            <w:tcBorders>
              <w:bottom w:val="single" w:sz="12" w:space="0" w:color="000000"/>
            </w:tcBorders>
            <w:tcMar>
              <w:bottom w:w="28" w:type="dxa"/>
            </w:tcMar>
            <w:vAlign w:val="center"/>
          </w:tcPr>
          <w:p>
            <w:pPr>
              <w:pStyle w:val="TableContents"/>
              <w:bidi w:val="0"/>
              <w:spacing w:before="0" w:after="283"/>
              <w:jc w:val="left"/>
              <w:rPr/>
            </w:pPr>
            <w:r>
              <w:rPr/>
              <w:t>/s/ Don Phillips</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Name:</w:t>
            </w:r>
          </w:p>
        </w:tc>
        <w:tc>
          <w:tcPr>
            <w:tcW w:w="1490" w:type="dxa"/>
            <w:tcBorders/>
            <w:vAlign w:val="center"/>
          </w:tcPr>
          <w:p>
            <w:pPr>
              <w:pStyle w:val="TableContents"/>
              <w:bidi w:val="0"/>
              <w:spacing w:before="0" w:after="283"/>
              <w:jc w:val="left"/>
              <w:rPr/>
            </w:pPr>
            <w:r>
              <w:rPr/>
              <w:t>Donald Phillips</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Title/Capacity:</w:t>
            </w:r>
          </w:p>
        </w:tc>
        <w:tc>
          <w:tcPr>
            <w:tcW w:w="1490" w:type="dxa"/>
            <w:tcBorders/>
            <w:vAlign w:val="center"/>
          </w:tcPr>
          <w:p>
            <w:pPr>
              <w:pStyle w:val="TableContents"/>
              <w:bidi w:val="0"/>
              <w:spacing w:before="0" w:after="283"/>
              <w:jc w:val="left"/>
              <w:rPr/>
            </w:pPr>
            <w:r>
              <w:rPr/>
              <w:t>Manager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ACKNOWLEDGED FOR LIMITED PURPOSES BY SEE 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ID,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as Seller Party, Grantor, and Guarantor</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1430"/>
        <w:gridCol w:w="2165"/>
        <w:gridCol w:w="75"/>
      </w:tblGrid>
      <w:tr>
        <w:trPr/>
        <w:tc>
          <w:tcPr>
            <w:tcW w:w="1430" w:type="dxa"/>
            <w:tcBorders/>
            <w:vAlign w:val="center"/>
          </w:tcPr>
          <w:p>
            <w:pPr>
              <w:pStyle w:val="TableContents"/>
              <w:bidi w:val="0"/>
              <w:spacing w:before="0" w:after="283"/>
              <w:jc w:val="left"/>
              <w:rPr/>
            </w:pPr>
            <w:r>
              <w:rPr/>
              <w:t>By:</w:t>
            </w:r>
          </w:p>
        </w:tc>
        <w:tc>
          <w:tcPr>
            <w:tcW w:w="2165" w:type="dxa"/>
            <w:tcBorders>
              <w:bottom w:val="single" w:sz="12" w:space="0" w:color="000000"/>
            </w:tcBorders>
            <w:tcMar>
              <w:bottom w:w="28" w:type="dxa"/>
            </w:tcMar>
            <w:vAlign w:val="center"/>
          </w:tcPr>
          <w:p>
            <w:pPr>
              <w:pStyle w:val="TableContents"/>
              <w:bidi w:val="0"/>
              <w:spacing w:before="0" w:after="283"/>
              <w:jc w:val="left"/>
              <w:rPr/>
            </w:pPr>
            <w:r>
              <w:rPr/>
              <w:t>/s/ Edmund Nabrotzky</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Name:</w:t>
            </w:r>
          </w:p>
        </w:tc>
        <w:tc>
          <w:tcPr>
            <w:tcW w:w="2165" w:type="dxa"/>
            <w:tcBorders/>
            <w:vAlign w:val="center"/>
          </w:tcPr>
          <w:p>
            <w:pPr>
              <w:pStyle w:val="TableContents"/>
              <w:bidi w:val="0"/>
              <w:spacing w:before="0" w:after="283"/>
              <w:jc w:val="left"/>
              <w:rPr/>
            </w:pPr>
            <w:r>
              <w:rPr/>
              <w:t>Edmund Nabrotzky</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Title/Capacity:</w:t>
            </w:r>
          </w:p>
        </w:tc>
        <w:tc>
          <w:tcPr>
            <w:tcW w:w="2165" w:type="dxa"/>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ACKNOWLEDGED FOR LIMITED PURPOSES BY DOT 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DOT WORKS,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as Seller Party and Pre-Closing Grantor, not Borrower or continuing guarantor</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1430"/>
        <w:gridCol w:w="2165"/>
        <w:gridCol w:w="75"/>
      </w:tblGrid>
      <w:tr>
        <w:trPr/>
        <w:tc>
          <w:tcPr>
            <w:tcW w:w="1430" w:type="dxa"/>
            <w:tcBorders/>
            <w:vAlign w:val="center"/>
          </w:tcPr>
          <w:p>
            <w:pPr>
              <w:pStyle w:val="TableContents"/>
              <w:bidi w:val="0"/>
              <w:spacing w:before="0" w:after="283"/>
              <w:jc w:val="left"/>
              <w:rPr/>
            </w:pPr>
            <w:r>
              <w:rPr/>
              <w:t>By:</w:t>
            </w:r>
          </w:p>
        </w:tc>
        <w:tc>
          <w:tcPr>
            <w:tcW w:w="2165" w:type="dxa"/>
            <w:tcBorders>
              <w:bottom w:val="single" w:sz="12" w:space="0" w:color="000000"/>
            </w:tcBorders>
            <w:tcMar>
              <w:bottom w:w="28" w:type="dxa"/>
            </w:tcMar>
            <w:vAlign w:val="center"/>
          </w:tcPr>
          <w:p>
            <w:pPr>
              <w:pStyle w:val="TableContents"/>
              <w:bidi w:val="0"/>
              <w:spacing w:before="0" w:after="283"/>
              <w:jc w:val="left"/>
              <w:rPr/>
            </w:pPr>
            <w:r>
              <w:rPr/>
              <w:t>/s/ Edmund Nabrotzky</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Name:</w:t>
            </w:r>
          </w:p>
        </w:tc>
        <w:tc>
          <w:tcPr>
            <w:tcW w:w="2165" w:type="dxa"/>
            <w:tcBorders/>
            <w:vAlign w:val="center"/>
          </w:tcPr>
          <w:p>
            <w:pPr>
              <w:pStyle w:val="TableContents"/>
              <w:bidi w:val="0"/>
              <w:spacing w:before="0" w:after="283"/>
              <w:jc w:val="left"/>
              <w:rPr/>
            </w:pPr>
            <w:r>
              <w:rPr/>
              <w:t>Edmund Nabrotzky</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Title/Capacity:</w:t>
            </w:r>
          </w:p>
        </w:tc>
        <w:tc>
          <w:tcPr>
            <w:tcW w:w="2165" w:type="dxa"/>
            <w:tcBorders/>
            <w:vAlign w:val="center"/>
          </w:tcPr>
          <w:p>
            <w:pPr>
              <w:pStyle w:val="TableContents"/>
              <w:bidi w:val="0"/>
              <w:spacing w:before="0" w:after="283"/>
              <w:jc w:val="left"/>
              <w:rPr/>
            </w:pPr>
            <w:r>
              <w:rPr/>
              <w:t>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to be converted: $__________________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to be converted: $__________________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amounts to be converted: $__________________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Conversion Amount: $__________________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Price: $__________________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Price (80% of Market Price): $__________________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Conversion Shares requested: 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principal after conversion: $__________________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certifies that this conversion complies with the Beneficial Ownership Limitation and acknowledges that issuance is subject to the Exchange Cap, securities laws, Trading Market rules, and Transfer Agent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PHILLIPS EQUITIES &amp;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Florida [trust/company]</w:t>
      </w:r>
    </w:p>
    <w:p>
      <w:pPr>
        <w:pStyle w:val="TextBody"/>
        <w:bidi w:val="0"/>
        <w:spacing w:before="0" w:after="0"/>
        <w:ind w:left="0" w:right="0" w:hanging="0"/>
        <w:jc w:val="left"/>
        <w:rPr>
          <w:caps w:val="false"/>
          <w:smallCaps w:val="false"/>
        </w:rPr>
      </w:pPr>
      <w:r>
        <w:rPr>
          <w:caps w:val="false"/>
          <w:smallCaps w:val="false"/>
        </w:rPr>
        <w:t> </w:t>
      </w:r>
    </w:p>
    <w:tbl>
      <w:tblPr>
        <w:tblW w:w="1565" w:type="dxa"/>
        <w:jc w:val="left"/>
        <w:tblInd w:w="0" w:type="dxa"/>
        <w:tblLayout w:type="fixed"/>
        <w:tblCellMar>
          <w:top w:w="0" w:type="dxa"/>
          <w:left w:w="0" w:type="dxa"/>
          <w:bottom w:w="0" w:type="dxa"/>
          <w:right w:w="0" w:type="dxa"/>
        </w:tblCellMar>
      </w:tblPr>
      <w:tblGrid>
        <w:gridCol w:w="1430"/>
        <w:gridCol w:w="60"/>
        <w:gridCol w:w="75"/>
      </w:tblGrid>
      <w:tr>
        <w:trPr/>
        <w:tc>
          <w:tcPr>
            <w:tcW w:w="1430" w:type="dxa"/>
            <w:tcBorders/>
            <w:vAlign w:val="center"/>
          </w:tcPr>
          <w:p>
            <w:pPr>
              <w:pStyle w:val="TableContents"/>
              <w:bidi w:val="0"/>
              <w:spacing w:before="0" w:after="283"/>
              <w:jc w:val="left"/>
              <w:rPr/>
            </w:pPr>
            <w:r>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Name:</w:t>
            </w:r>
          </w:p>
        </w:tc>
        <w:tc>
          <w:tcPr>
            <w:tcW w:w="6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Title/Capacity: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30650101ex10-6.htm"/>
      <w:bookmarkStart w:id="28" w:name="ksea030650101ex106"/>
      <w:bookmarkEnd w:id="27"/>
      <w:bookmarkEnd w:id="28"/>
      <w:r>
        <w:rPr>
          <w:rFonts w:ascii="Times New Roman;Times;Serif" w:hAnsi="Times New Roman;Times;Serif"/>
          <w:b/>
          <w:i w:val="false"/>
          <w:caps w:val="false"/>
          <w:smallCaps w:val="false"/>
          <w:sz w:val="20"/>
        </w:rPr>
        <w:t>Exhibit 10.6</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is dated June 23, 2026 by and between CID HOLDCO, INC., a Delaware corporation (the “Company”), and PHILLIPS EQUITIES &amp; TRUST, a Delaware limited liability company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issued to Holder a $500,000 Senior Secured Convertible Promissory Note under a Note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Note is convertible into Common Stock at a floating 20% discount, subject to a fixed 19.99% Exchange Cap, beneficial ownership limits, securities-law compliance, and Trading Market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agreed to provide narrow resale registration rights solely for Conversion Shares and not for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Conversion Shares” </w:t>
      </w:r>
      <w:r>
        <w:rPr>
          <w:rFonts w:ascii="Times New Roman;Times;Serif" w:hAnsi="Times New Roman;Times;Serif"/>
          <w:b w:val="false"/>
          <w:i w:val="false"/>
          <w:caps w:val="false"/>
          <w:smallCaps w:val="false"/>
          <w:sz w:val="20"/>
        </w:rPr>
        <w:t>means shares of Common Stock issued or issuable upon conversion of the Note, only to the extent issuable within the Exchange Cap or after Stockholder Approval, any shares of Common Stock issued or issuable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Registrable Securities” </w:t>
      </w:r>
      <w:r>
        <w:rPr>
          <w:rFonts w:ascii="Times New Roman;Times;Serif" w:hAnsi="Times New Roman;Times;Serif"/>
          <w:b w:val="false"/>
          <w:i w:val="false"/>
          <w:caps w:val="false"/>
          <w:smallCaps w:val="false"/>
          <w:sz w:val="20"/>
        </w:rPr>
        <w:t>means Conversion Shares until sold under a registration statement, sold under Rule 144, eligible for resale without Rule 144 volume/manner/current-public-information limits, or no longer issuable because the Note has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Registration Statement” </w:t>
      </w:r>
      <w:r>
        <w:rPr>
          <w:rFonts w:ascii="Times New Roman;Times;Serif" w:hAnsi="Times New Roman;Times;Serif"/>
          <w:b w:val="false"/>
          <w:i w:val="false"/>
          <w:caps w:val="false"/>
          <w:smallCaps w:val="false"/>
          <w:sz w:val="20"/>
        </w:rPr>
        <w:t>means a Form S-1, Form S-3 if available, or other applicable SEC form for resale of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Selling Expenses” </w:t>
      </w:r>
      <w:r>
        <w:rPr>
          <w:rFonts w:ascii="Times New Roman;Times;Serif" w:hAnsi="Times New Roman;Times;Serif"/>
          <w:b w:val="false"/>
          <w:i w:val="false"/>
          <w:caps w:val="false"/>
          <w:smallCaps w:val="false"/>
          <w:sz w:val="20"/>
        </w:rPr>
        <w:t>means underwriting discounts, selling commissions, stock transfer taxes, and Holder counsel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not defined have meanings in the Note or Note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Initial Resale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SEC guidance and Section 2.4, the Company shall use commercially reasonable efforts to file a Registration Statement within 45 calendar days after the Note Closing covering resale by Holder of Registrable Securities. The Registration Statement shall cover only Conversion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Effectiveness and Maintenance.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use commercially reasonable efforts to cause the Registration Statement to become effective as promptly as practicable and remain effective until all covered Registrable Securities are sold, may be sold without Rule 144 restrictions, or the Note is satisfied and no Conversion Shares remain issuable.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Limits.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required to register shares above the Exchange Cap unless and until required Stockholder Approval has been obtained. The Company is not required to include shares if the SEC objects or inclusion would violate law, SEC guidance, or Trading Market rules; in that case the Company shall use commercially reasonable efforts to register the maximum number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No Coercive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obtain Stockholder Approval, register shares above the Exchange Cap, obtain effectiveness by a particular date, or overcome SEC or Trading Market limitations shall not be an Event of Default under the Note or Note Purchase Agreement, shall not increase interest or principal, shall not reduce the Conversion Price, and shall not create penalty, liquidated damages, redemption premium, make-whole, or other coercive consequence.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Piggyback.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proposes to register Common Stock for itself or another holder, other than on Form S-4, Form S-8, or a form unavailable for resale by Holder, the Company shall use commercially reasonable efforts to include Registrable Securities, subject to underwriter cutbacks, SEC guidance, the Exchange Cap,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COMPANY AND HOLDER OBLIGATIONS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Company shall prepare and file the Registration Statement and commercially reasonable amendments/supplements, respond to SEC comments, notify Holder of effectiveness or suspension, furnish electronic prospectus access, use commercially reasonable efforts for state securities qualifications, and cooperate with Transfer Agent on legend removal when legally available.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Holder shall provide selling-holder information, update inaccurate information, comply with prospectus delivery and suspension notices, not sell in violation of law or MNPI restrictions, and comply with Regulation M and other applicable rules.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Company may suspend use of a prospectus for a reasonable period if continued use would require disclosure of material non-public information, materially interfere with a material transaction, violate law, or cause a material misstatement or omission.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EXPENSES;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pays registration expenses, SEC filing fees, EDGARization costs, Company counsel/accountant fees, and customary Transfer Agent fees. Holder pays Selling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indemnifies Holder and related persons for material misstatements or omissions in a Registration Statement or prospectus, except to the extent based on Holder information furnished for use therein. Holder indemnifies Company and related persons only to the extent a claim is based on Holder information furnished for use therein, capped at Holder’s net proceeds from the sale giving rise to the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RULE 144; TRANSFER;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Holder owns Registrable Securities or the Note is outstanding, Company shall use commercially reasonable efforts to maintain public information required for Rule 144(c), subject to Exchange Act reporting obligations and disclosed noncompliance.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rights transfer only with a permitted transfer of the Note or Registrable Securities to a transferee agreeing in writing to be bound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No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grants no rights for securities or registration rights other than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 Governing Law and Counterparts.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governs. Delaware courts have jurisdiction. This Agreement may be executed in counterparts and electronically, and may be amended only in writing signed by the Company and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1430"/>
        <w:gridCol w:w="2165"/>
        <w:gridCol w:w="75"/>
      </w:tblGrid>
      <w:tr>
        <w:trPr/>
        <w:tc>
          <w:tcPr>
            <w:tcW w:w="1430" w:type="dxa"/>
            <w:tcBorders/>
            <w:vAlign w:val="center"/>
          </w:tcPr>
          <w:p>
            <w:pPr>
              <w:pStyle w:val="TableContents"/>
              <w:bidi w:val="0"/>
              <w:spacing w:before="0" w:after="283"/>
              <w:jc w:val="left"/>
              <w:rPr/>
            </w:pPr>
            <w:r>
              <w:rPr/>
              <w:t>By:</w:t>
            </w:r>
          </w:p>
        </w:tc>
        <w:tc>
          <w:tcPr>
            <w:tcW w:w="2165" w:type="dxa"/>
            <w:tcBorders>
              <w:bottom w:val="single" w:sz="12" w:space="0" w:color="000000"/>
            </w:tcBorders>
            <w:tcMar>
              <w:bottom w:w="28" w:type="dxa"/>
            </w:tcMar>
            <w:vAlign w:val="center"/>
          </w:tcPr>
          <w:p>
            <w:pPr>
              <w:pStyle w:val="TableContents"/>
              <w:bidi w:val="0"/>
              <w:spacing w:before="0" w:after="283"/>
              <w:jc w:val="left"/>
              <w:rPr/>
            </w:pPr>
            <w:r>
              <w:rPr/>
              <w:t>/s/ Edmund Nabrotzky</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Name:</w:t>
            </w:r>
          </w:p>
        </w:tc>
        <w:tc>
          <w:tcPr>
            <w:tcW w:w="2165" w:type="dxa"/>
            <w:tcBorders/>
            <w:vAlign w:val="center"/>
          </w:tcPr>
          <w:p>
            <w:pPr>
              <w:pStyle w:val="TableContents"/>
              <w:bidi w:val="0"/>
              <w:spacing w:before="0" w:after="283"/>
              <w:jc w:val="left"/>
              <w:rPr/>
            </w:pPr>
            <w:r>
              <w:rPr/>
              <w:t>Edmund Nabrotzky</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Title/Capacity:</w:t>
            </w:r>
          </w:p>
        </w:tc>
        <w:tc>
          <w:tcPr>
            <w:tcW w:w="2165" w:type="dxa"/>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PHILLIPS EQUITIES &amp; TRUST,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1430"/>
        <w:gridCol w:w="1490"/>
        <w:gridCol w:w="75"/>
      </w:tblGrid>
      <w:tr>
        <w:trPr/>
        <w:tc>
          <w:tcPr>
            <w:tcW w:w="1430" w:type="dxa"/>
            <w:tcBorders/>
            <w:vAlign w:val="center"/>
          </w:tcPr>
          <w:p>
            <w:pPr>
              <w:pStyle w:val="TableContents"/>
              <w:bidi w:val="0"/>
              <w:spacing w:before="0" w:after="283"/>
              <w:jc w:val="left"/>
              <w:rPr/>
            </w:pPr>
            <w:r>
              <w:rPr/>
              <w:t>By:</w:t>
            </w:r>
          </w:p>
        </w:tc>
        <w:tc>
          <w:tcPr>
            <w:tcW w:w="1490" w:type="dxa"/>
            <w:tcBorders>
              <w:bottom w:val="single" w:sz="12" w:space="0" w:color="000000"/>
            </w:tcBorders>
            <w:tcMar>
              <w:bottom w:w="28" w:type="dxa"/>
            </w:tcMar>
            <w:vAlign w:val="center"/>
          </w:tcPr>
          <w:p>
            <w:pPr>
              <w:pStyle w:val="TableContents"/>
              <w:bidi w:val="0"/>
              <w:spacing w:before="0" w:after="283"/>
              <w:jc w:val="left"/>
              <w:rPr/>
            </w:pPr>
            <w:r>
              <w:rPr/>
              <w:t>/s/ Don Phillips</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Name:</w:t>
            </w:r>
          </w:p>
        </w:tc>
        <w:tc>
          <w:tcPr>
            <w:tcW w:w="1490" w:type="dxa"/>
            <w:tcBorders/>
            <w:vAlign w:val="center"/>
          </w:tcPr>
          <w:p>
            <w:pPr>
              <w:pStyle w:val="TableContents"/>
              <w:bidi w:val="0"/>
              <w:spacing w:before="0" w:after="283"/>
              <w:jc w:val="left"/>
              <w:rPr/>
            </w:pPr>
            <w:r>
              <w:rPr/>
              <w:t>Donald Phillips</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Title/Capacity:</w:t>
            </w:r>
          </w:p>
        </w:tc>
        <w:tc>
          <w:tcPr>
            <w:tcW w:w="1490" w:type="dxa"/>
            <w:tcBorders/>
            <w:vAlign w:val="center"/>
          </w:tcPr>
          <w:p>
            <w:pPr>
              <w:pStyle w:val="TableContents"/>
              <w:bidi w:val="0"/>
              <w:spacing w:before="0" w:after="283"/>
              <w:jc w:val="left"/>
              <w:rPr/>
            </w:pPr>
            <w:r>
              <w:rPr/>
              <w:t>Manager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PLAN OF DISTRIBUTION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selling securityholder may sell securities from time to time on the Trading Market or other market or in private transactions.</w:t>
            </w:r>
          </w:p>
        </w:tc>
      </w:tr>
    </w:tbl>
    <w:p>
      <w:pPr>
        <w:pStyle w:val="TextBody"/>
        <w:bidi w:val="0"/>
        <w:spacing w:before="0" w:after="0"/>
        <w:ind w:left="0" w:right="0" w:hanging="0"/>
        <w:jc w:val="left"/>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17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left"/>
              <w:rPr/>
            </w:pPr>
            <w:r>
              <w:rPr/>
              <w:t>Sales may be at fixed prices, market prices, prices related to market prices, or negotiated prices.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Methods may include ordinary brokerage transactions, block trades, private transactions, broker-dealer transactions, or any method permitted by law and described in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selling securityholder and broker-dealers may be deemed underwriters under the Securities Act. The Company is not responsible for selling commissions or discounts.</w:t>
            </w:r>
          </w:p>
        </w:tc>
      </w:tr>
    </w:tbl>
    <w:p>
      <w:pPr>
        <w:pStyle w:val="TextBody"/>
        <w:bidi w:val="0"/>
        <w:spacing w:before="0" w:after="0"/>
        <w:ind w:left="0" w:right="0" w:hanging="0"/>
        <w:jc w:val="left"/>
        <w:rPr>
          <w:caps w:val="false"/>
          <w:smallCaps w:val="false"/>
        </w:rPr>
      </w:pPr>
      <w:r>
        <w:rPr>
          <w:caps w:val="false"/>
          <w:smallCaps w:val="false"/>
        </w:rPr>
        <w:t> </w:t>
      </w:r>
    </w:p>
    <w:tbl>
      <w:tblPr>
        <w:tblW w:w="8658" w:type="dxa"/>
        <w:jc w:val="left"/>
        <w:tblInd w:w="0" w:type="dxa"/>
        <w:tblLayout w:type="fixed"/>
        <w:tblCellMar>
          <w:top w:w="0" w:type="dxa"/>
          <w:left w:w="0" w:type="dxa"/>
          <w:bottom w:w="0" w:type="dxa"/>
          <w:right w:w="0" w:type="dxa"/>
        </w:tblCellMar>
      </w:tblPr>
      <w:tblGrid>
        <w:gridCol w:w="38"/>
        <w:gridCol w:w="170"/>
        <w:gridCol w:w="8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50" w:type="dxa"/>
            <w:tcBorders/>
            <w:vAlign w:val="center"/>
          </w:tcPr>
          <w:p>
            <w:pPr>
              <w:pStyle w:val="TableContents"/>
              <w:bidi w:val="0"/>
              <w:spacing w:before="0" w:after="283"/>
              <w:jc w:val="left"/>
              <w:rPr/>
            </w:pPr>
            <w:r>
              <w:rPr/>
              <w:t>The plan may be revised as reasonably required by SEC comments or Company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9" w:name="ea030650101ex31-1.htm"/>
      <w:bookmarkStart w:id="30" w:name="ksea030650101ex311"/>
      <w:bookmarkEnd w:id="29"/>
      <w:bookmarkEnd w:id="30"/>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RULES 13a-14(a) AND 15d-14(a)</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UNDER THE SECURITIES EXCHANGE ACT OF 1934, AS ADOPTED PURSUANT TO</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Edmund Nabrotzky,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1.</w:t>
            </w:r>
          </w:p>
        </w:tc>
        <w:tc>
          <w:tcPr>
            <w:tcW w:w="9971" w:type="dxa"/>
            <w:tcBorders/>
            <w:vAlign w:val="center"/>
          </w:tcPr>
          <w:p>
            <w:pPr>
              <w:pStyle w:val="TableContents"/>
              <w:bidi w:val="0"/>
              <w:spacing w:before="0" w:after="283"/>
              <w:jc w:val="left"/>
              <w:rPr/>
            </w:pPr>
            <w:r>
              <w:rPr/>
              <w:t>I have reviewed this Quarterly Report on Form 10-Q for the quarter ended June 30, 2026 of CID Holdco, Inc.;</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4.</w:t>
            </w:r>
          </w:p>
        </w:tc>
        <w:tc>
          <w:tcPr>
            <w:tcW w:w="10000"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for the registrant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controls over financial reporting.</w:t>
            </w:r>
          </w:p>
        </w:tc>
      </w:tr>
    </w:tbl>
    <w:p>
      <w:pPr>
        <w:pStyle w:val="TextBody"/>
        <w:bidi w:val="0"/>
        <w:spacing w:before="0" w:after="283"/>
        <w:jc w:val="left"/>
        <w:rPr/>
      </w:pPr>
      <w:r>
        <w:rPr/>
        <w:t> </w:t>
      </w:r>
    </w:p>
    <w:tbl>
      <w:tblPr>
        <w:tblW w:w="2840" w:type="dxa"/>
        <w:jc w:val="left"/>
        <w:tblInd w:w="0" w:type="dxa"/>
        <w:tblLayout w:type="fixed"/>
        <w:tblCellMar>
          <w:top w:w="0" w:type="dxa"/>
          <w:left w:w="0" w:type="dxa"/>
          <w:bottom w:w="0" w:type="dxa"/>
          <w:right w:w="0" w:type="dxa"/>
        </w:tblCellMar>
      </w:tblPr>
      <w:tblGrid>
        <w:gridCol w:w="2765"/>
        <w:gridCol w:w="75"/>
      </w:tblGrid>
      <w:tr>
        <w:trPr/>
        <w:tc>
          <w:tcPr>
            <w:tcW w:w="2765" w:type="dxa"/>
            <w:tcBorders/>
            <w:vAlign w:val="center"/>
          </w:tcPr>
          <w:p>
            <w:pPr>
              <w:pStyle w:val="TableContents"/>
              <w:bidi w:val="0"/>
              <w:spacing w:before="0" w:after="283"/>
              <w:jc w:val="left"/>
              <w:rPr/>
            </w:pPr>
            <w:r>
              <w:rPr/>
              <w:t>Date: September 25, 2026</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65" w:type="dxa"/>
            <w:tcBorders>
              <w:bottom w:val="single" w:sz="12" w:space="0" w:color="000000"/>
            </w:tcBorders>
            <w:tcMar>
              <w:bottom w:w="28" w:type="dxa"/>
            </w:tcMar>
            <w:vAlign w:val="center"/>
          </w:tcPr>
          <w:p>
            <w:pPr>
              <w:pStyle w:val="TableContents"/>
              <w:bidi w:val="0"/>
              <w:spacing w:before="0" w:after="283"/>
              <w:jc w:val="left"/>
              <w:rPr/>
            </w:pPr>
            <w:r>
              <w:rPr/>
              <w:t>/s/ Edmund Nabrotzky</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Edmund Nabrotzky</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1" w:name="ea030650101ex31-2.htm"/>
      <w:bookmarkStart w:id="32" w:name="ksea030650101ex312"/>
      <w:bookmarkEnd w:id="31"/>
      <w:bookmarkEnd w:id="32"/>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RULES 13a-14(a) AND 15d-14(a)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Charles Maddox,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1.</w:t>
            </w:r>
          </w:p>
        </w:tc>
        <w:tc>
          <w:tcPr>
            <w:tcW w:w="9971" w:type="dxa"/>
            <w:tcBorders/>
            <w:vAlign w:val="center"/>
          </w:tcPr>
          <w:p>
            <w:pPr>
              <w:pStyle w:val="TableContents"/>
              <w:bidi w:val="0"/>
              <w:spacing w:before="0" w:after="283"/>
              <w:jc w:val="left"/>
              <w:rPr/>
            </w:pPr>
            <w:r>
              <w:rPr/>
              <w:t>I have reviewed this Quarterly Report on Form 10-Q for the quarter ended June 30, 2026 of CID Holdco, Inc.;</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4.</w:t>
            </w:r>
          </w:p>
        </w:tc>
        <w:tc>
          <w:tcPr>
            <w:tcW w:w="10000"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for the registrant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2765" w:type="dxa"/>
        <w:jc w:val="left"/>
        <w:tblInd w:w="0" w:type="dxa"/>
        <w:tblLayout w:type="fixed"/>
        <w:tblCellMar>
          <w:top w:w="0" w:type="dxa"/>
          <w:left w:w="0" w:type="dxa"/>
          <w:bottom w:w="0" w:type="dxa"/>
          <w:right w:w="0" w:type="dxa"/>
        </w:tblCellMar>
      </w:tblPr>
      <w:tblGrid>
        <w:gridCol w:w="2690"/>
        <w:gridCol w:w="75"/>
      </w:tblGrid>
      <w:tr>
        <w:trPr/>
        <w:tc>
          <w:tcPr>
            <w:tcW w:w="2690" w:type="dxa"/>
            <w:tcBorders/>
            <w:vAlign w:val="center"/>
          </w:tcPr>
          <w:p>
            <w:pPr>
              <w:pStyle w:val="TableContents"/>
              <w:bidi w:val="0"/>
              <w:spacing w:before="0" w:after="283"/>
              <w:jc w:val="left"/>
              <w:rPr/>
            </w:pPr>
            <w:r>
              <w:rPr/>
              <w:t>Date: September 25, 2026</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90" w:type="dxa"/>
            <w:tcBorders>
              <w:bottom w:val="single" w:sz="12" w:space="0" w:color="000000"/>
            </w:tcBorders>
            <w:tcMar>
              <w:bottom w:w="28" w:type="dxa"/>
            </w:tcMar>
            <w:vAlign w:val="center"/>
          </w:tcPr>
          <w:p>
            <w:pPr>
              <w:pStyle w:val="TableContents"/>
              <w:bidi w:val="0"/>
              <w:spacing w:before="0" w:after="283"/>
              <w:jc w:val="left"/>
              <w:rPr/>
            </w:pPr>
            <w:r>
              <w:rPr/>
              <w:t>/s/ Charles Maddox</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Charles Maddox</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(Principal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3" w:name="ea030650101ex32-1.htm"/>
      <w:bookmarkStart w:id="34" w:name="ksea030650101ex321"/>
      <w:bookmarkEnd w:id="33"/>
      <w:bookmarkEnd w:id="34"/>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CID HoldCo, Inc. (the “Company”) on Form 10-Q for the quarter ended June 30, 2026, as filed with the Securities and Exchange Commission on the date hereof (the “Report”), I, Edmund Nabrotzky,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283"/>
              <w:jc w:val="left"/>
              <w:rPr/>
            </w:pPr>
            <w:r>
              <w:rPr/>
              <w:t>the Report fully complies with the requirements of Section 13(a) or 15(d) of the Securities Exchange Act of 1934;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283"/>
              <w:jc w:val="left"/>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665"/>
        <w:gridCol w:w="3530"/>
        <w:gridCol w:w="75"/>
      </w:tblGrid>
      <w:tr>
        <w:trPr/>
        <w:tc>
          <w:tcPr>
            <w:tcW w:w="4195" w:type="dxa"/>
            <w:gridSpan w:val="2"/>
            <w:tcBorders/>
            <w:vAlign w:val="center"/>
          </w:tcPr>
          <w:p>
            <w:pPr>
              <w:pStyle w:val="TableContents"/>
              <w:bidi w:val="0"/>
              <w:spacing w:before="0" w:after="283"/>
              <w:jc w:val="left"/>
              <w:rPr/>
            </w:pPr>
            <w:r>
              <w:rPr/>
              <w:t>Date: September 25, 2026</w:t>
            </w:r>
          </w:p>
        </w:tc>
        <w:tc>
          <w:tcPr>
            <w:tcW w:w="75" w:type="dxa"/>
            <w:tcBorders/>
            <w:vAlign w:val="center"/>
          </w:tcPr>
          <w:p>
            <w:pPr>
              <w:pStyle w:val="TableContents"/>
              <w:bidi w:val="0"/>
              <w:spacing w:before="0" w:after="283"/>
              <w:jc w:val="left"/>
              <w:rPr/>
            </w:pPr>
            <w:r>
              <w:rPr/>
              <w:t> </w:t>
            </w:r>
          </w:p>
        </w:tc>
      </w:tr>
      <w:tr>
        <w:trPr/>
        <w:tc>
          <w:tcPr>
            <w:tcW w:w="419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195" w:type="dxa"/>
            <w:gridSpan w:val="2"/>
            <w:tcBorders>
              <w:bottom w:val="single" w:sz="12" w:space="0" w:color="000000"/>
            </w:tcBorders>
            <w:tcMar>
              <w:bottom w:w="28" w:type="dxa"/>
            </w:tcMar>
            <w:vAlign w:val="center"/>
          </w:tcPr>
          <w:p>
            <w:pPr>
              <w:pStyle w:val="TableContents"/>
              <w:bidi w:val="0"/>
              <w:spacing w:before="0" w:after="283"/>
              <w:jc w:val="left"/>
              <w:rPr/>
            </w:pPr>
            <w:r>
              <w:rPr/>
              <w:t>/s/ Edmund Nabrotzky</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3530" w:type="dxa"/>
            <w:tcBorders/>
            <w:vAlign w:val="center"/>
          </w:tcPr>
          <w:p>
            <w:pPr>
              <w:pStyle w:val="TableContents"/>
              <w:bidi w:val="0"/>
              <w:spacing w:before="0" w:after="283"/>
              <w:jc w:val="left"/>
              <w:rPr/>
            </w:pPr>
            <w:r>
              <w:rPr/>
              <w:t>Edmund Nabrotzky</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3530" w:type="dxa"/>
            <w:tcBorders/>
            <w:vAlign w:val="center"/>
          </w:tcPr>
          <w:p>
            <w:pPr>
              <w:pStyle w:val="TableContents"/>
              <w:bidi w:val="0"/>
              <w:spacing w:before="0" w:after="283"/>
              <w:jc w:val="left"/>
              <w:rPr/>
            </w:pPr>
            <w:r>
              <w:rPr/>
              <w:t>Chief Executive Officer and Director</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5" w:name="ea030650101ex32-2.htm"/>
      <w:bookmarkStart w:id="36" w:name="ksea030650101ex322"/>
      <w:bookmarkEnd w:id="35"/>
      <w:bookmarkEnd w:id="36"/>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CID HoldCo, Inc. (the “Company”) on Form 10-Q for the quarter ended June 30, 2026, as filed with the Securities and Exchange Commission on the date hereof (the “Report”), I, Charles Maddox,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283"/>
              <w:jc w:val="left"/>
              <w:rPr/>
            </w:pPr>
            <w:r>
              <w:rPr/>
              <w:t>the Report fully complies with the requirements of Section 13(a) or 15(d) of the Securities Exchange Act of 1934;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283"/>
              <w:jc w:val="left"/>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665"/>
        <w:gridCol w:w="4250"/>
        <w:gridCol w:w="75"/>
      </w:tblGrid>
      <w:tr>
        <w:trPr/>
        <w:tc>
          <w:tcPr>
            <w:tcW w:w="4915" w:type="dxa"/>
            <w:gridSpan w:val="2"/>
            <w:tcBorders/>
            <w:vAlign w:val="center"/>
          </w:tcPr>
          <w:p>
            <w:pPr>
              <w:pStyle w:val="TableContents"/>
              <w:bidi w:val="0"/>
              <w:spacing w:before="0" w:after="283"/>
              <w:jc w:val="left"/>
              <w:rPr/>
            </w:pPr>
            <w:r>
              <w:rPr/>
              <w:t>Date: September 25, 2026</w:t>
            </w:r>
          </w:p>
        </w:tc>
        <w:tc>
          <w:tcPr>
            <w:tcW w:w="75" w:type="dxa"/>
            <w:tcBorders/>
            <w:vAlign w:val="center"/>
          </w:tcPr>
          <w:p>
            <w:pPr>
              <w:pStyle w:val="TableContents"/>
              <w:bidi w:val="0"/>
              <w:spacing w:before="0" w:after="283"/>
              <w:jc w:val="left"/>
              <w:rPr/>
            </w:pPr>
            <w:r>
              <w:rPr/>
              <w:t> </w:t>
            </w:r>
          </w:p>
        </w:tc>
      </w:tr>
      <w:tr>
        <w:trPr/>
        <w:tc>
          <w:tcPr>
            <w:tcW w:w="49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15" w:type="dxa"/>
            <w:gridSpan w:val="2"/>
            <w:tcBorders>
              <w:bottom w:val="single" w:sz="12" w:space="0" w:color="000000"/>
            </w:tcBorders>
            <w:tcMar>
              <w:bottom w:w="28" w:type="dxa"/>
            </w:tcMar>
            <w:vAlign w:val="center"/>
          </w:tcPr>
          <w:p>
            <w:pPr>
              <w:pStyle w:val="TableContents"/>
              <w:bidi w:val="0"/>
              <w:spacing w:before="0" w:after="283"/>
              <w:jc w:val="left"/>
              <w:rPr/>
            </w:pPr>
            <w:r>
              <w:rPr/>
              <w:t>/s/ Charles Maddox</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4250" w:type="dxa"/>
            <w:tcBorders/>
            <w:vAlign w:val="center"/>
          </w:tcPr>
          <w:p>
            <w:pPr>
              <w:pStyle w:val="TableContents"/>
              <w:bidi w:val="0"/>
              <w:spacing w:before="0" w:after="283"/>
              <w:jc w:val="left"/>
              <w:rPr/>
            </w:pPr>
            <w:r>
              <w:rPr/>
              <w:t>Charles Maddox</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4250"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(Principal Financial and Accounting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33770/000121390025057972/ea024660701ex3-1_cidhold.htm" TargetMode="External"/><Relationship Id="rId3" Type="http://schemas.openxmlformats.org/officeDocument/2006/relationships/hyperlink" Target="http://www.sec.gov/Archives/edgar/data/2033770/000121390026061794/ea029244201ex3-1.htm" TargetMode="External"/><Relationship Id="rId4" Type="http://schemas.openxmlformats.org/officeDocument/2006/relationships/hyperlink" Target="http://www.sec.gov/Archives/edgar/data/2033770/000121390025057972/ea024660701ex3-2_cidhold.htm" TargetMode="External"/><Relationship Id="rId5" Type="http://schemas.openxmlformats.org/officeDocument/2006/relationships/hyperlink" Target="https://www.sec.gov/Archives/edgar/data/2033770/000121390026026247/ea028003701ex4-1.htm" TargetMode="External"/><Relationship Id="rId6" Type="http://schemas.openxmlformats.org/officeDocument/2006/relationships/hyperlink" Target="https://www.sec.gov/Archives/edgar/data/2033770/000121390024094562/ea020805905ex4-5_cidhold.htm" TargetMode="External"/><Relationship Id="rId7" Type="http://schemas.openxmlformats.org/officeDocument/2006/relationships/hyperlink" Target="https://www.sec.gov/Archives/edgar/data/2033770/000121390024094562/ea020805905ex4-6_cidhold.htm" TargetMode="External"/><Relationship Id="rId8" Type="http://schemas.openxmlformats.org/officeDocument/2006/relationships/hyperlink" Target="https://www.sec.gov/Archives/edgar/data/1885461/000121390021061326/ea151223ex4-1_shoulderup.htm" TargetMode="External"/><Relationship Id="rId9" Type="http://schemas.openxmlformats.org/officeDocument/2006/relationships/hyperlink" Target="http://www.sec.gov/Archives/edgar/data/2033770/000121390025057972/ea024660701ex4-4_cidhold.htm" TargetMode="External"/><Relationship Id="rId10" Type="http://schemas.openxmlformats.org/officeDocument/2006/relationships/hyperlink" Target="http://www.sec.gov/Archives/edgar/data/2033770/000121390025057972/ea024660701ex10-8_cidhold.htm" TargetMode="External"/><Relationship Id="rId11" Type="http://schemas.openxmlformats.org/officeDocument/2006/relationships/hyperlink" Target="http://www.sec.gov/Archives/edgar/data/2033770/000121390025057972/ea024660701ex10-10_cidhold.htm" TargetMode="External"/><Relationship Id="rId12" Type="http://schemas.openxmlformats.org/officeDocument/2006/relationships/hyperlink" Target="http://www.sec.gov/Archives/edgar/data/2033770/000121390026100595/ea030569901ex10-1.htm" TargetMode="External"/><Relationship Id="rId13" Type="http://schemas.openxmlformats.org/officeDocument/2006/relationships/hyperlink" Target="http://www.sec.gov/Archives/edgar/data/2033770/000121390026100595/ea030569901ex10-2.htm" TargetMode="External"/><Relationship Id="rId14" Type="http://schemas.openxmlformats.org/officeDocument/2006/relationships/hyperlink" Target="http://www.sec.gov/Archives/edgar/data/2033770/000121390026100595/ea030569901ex10-3.htm" TargetMode="External"/><Relationship Id="rId15" Type="http://schemas.openxmlformats.org/officeDocument/2006/relationships/hyperlink" Target="https://www.sec.gov/Archives/edgar/data/2033770/000121390026026247/ea028003701ex97-1.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35072</Words>
  <Characters>196435</Characters>
  <CharactersWithSpaces>232710</CharactersWithSpaces>
  <Paragraphs>6027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