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1140" w:hanging="199"/>
        <w:spacing w:after="0"/>
        <w:tabs>
          <w:tab w:leader="none" w:pos="11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rFonts w:ascii="MS PGothic" w:cs="MS PGothic" w:eastAsia="MS PGothic" w:hAnsi="MS PGothic"/>
          <w:sz w:val="18"/>
          <w:szCs w:val="18"/>
          <w:color w:val="auto"/>
          <w:highlight w:val="black"/>
        </w:rPr>
      </w:pPr>
    </w:p>
    <w:p>
      <w:pPr>
        <w:ind w:left="39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For the transition period from _____ to _______</w:t>
      </w:r>
    </w:p>
    <w:p>
      <w:pPr>
        <w:spacing w:after="0" w:line="225" w:lineRule="exact"/>
        <w:rPr>
          <w:rFonts w:ascii="MS PGothic" w:cs="MS PGothic" w:eastAsia="MS PGothic" w:hAnsi="MS PGothic"/>
          <w:sz w:val="18"/>
          <w:szCs w:val="18"/>
          <w:color w:val="auto"/>
          <w:highlight w:val="black"/>
        </w:rPr>
      </w:pPr>
    </w:p>
    <w:p>
      <w:pPr>
        <w:ind w:left="42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001-42711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7680" w:type="dxa"/>
            <w:vAlign w:val="bottom"/>
            <w:gridSpan w:val="3"/>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6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99-2578850</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3560" w:type="dxa"/>
            <w:vAlign w:val="bottom"/>
            <w:tcBorders>
              <w:top w:val="single" w:sz="8" w:color="auto"/>
            </w:tcBorders>
          </w:tcPr>
          <w:p>
            <w:pPr>
              <w:jc w:val="center"/>
              <w:ind w:right="185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680" w:type="dxa"/>
            <w:vAlign w:val="bottom"/>
            <w:gridSpan w:val="3"/>
          </w:tcPr>
          <w:p>
            <w:pPr>
              <w:jc w:val="center"/>
              <w:ind w:right="216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7680" w:type="dxa"/>
            <w:vAlign w:val="bottom"/>
            <w:gridSpan w:val="3"/>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9"/>
              </w:rPr>
              <w:t>5661 S Cameron St, Suite 100, Las Vegas, Nevada</w:t>
            </w:r>
          </w:p>
        </w:tc>
        <w:tc>
          <w:tcPr>
            <w:tcW w:w="356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89118</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3560" w:type="dxa"/>
            <w:vAlign w:val="bottom"/>
            <w:tcBorders>
              <w:top w:val="single" w:sz="8" w:color="auto"/>
            </w:tcBorders>
          </w:tcPr>
          <w:p>
            <w:pPr>
              <w:jc w:val="center"/>
              <w:ind w:right="1830"/>
              <w:spacing w:after="0"/>
              <w:rPr>
                <w:sz w:val="20"/>
                <w:szCs w:val="20"/>
                <w:color w:val="auto"/>
              </w:rPr>
            </w:pPr>
            <w:r>
              <w:rPr>
                <w:rFonts w:ascii="Times New Roman" w:cs="Times New Roman" w:eastAsia="Times New Roman" w:hAnsi="Times New Roman"/>
                <w:sz w:val="18"/>
                <w:szCs w:val="18"/>
                <w:color w:val="auto"/>
              </w:rPr>
              <w:t>(Zip Code)</w:t>
            </w:r>
          </w:p>
        </w:tc>
      </w:tr>
      <w:tr>
        <w:trPr>
          <w:trHeight w:val="395"/>
        </w:trPr>
        <w:tc>
          <w:tcPr>
            <w:tcW w:w="7680" w:type="dxa"/>
            <w:vAlign w:val="bottom"/>
            <w:gridSpan w:val="3"/>
          </w:tcPr>
          <w:p>
            <w:pPr>
              <w:jc w:val="right"/>
              <w:ind w:right="1380"/>
              <w:spacing w:after="0"/>
              <w:rPr>
                <w:sz w:val="20"/>
                <w:szCs w:val="20"/>
                <w:color w:val="auto"/>
              </w:rPr>
            </w:pPr>
            <w:r>
              <w:rPr>
                <w:rFonts w:ascii="Times New Roman" w:cs="Times New Roman" w:eastAsia="Times New Roman" w:hAnsi="Times New Roman"/>
                <w:sz w:val="18"/>
                <w:szCs w:val="18"/>
                <w:color w:val="auto"/>
              </w:rPr>
              <w:t>+1 (303) 332 4122</w:t>
            </w:r>
          </w:p>
        </w:tc>
        <w:tc>
          <w:tcPr>
            <w:tcW w:w="3560" w:type="dxa"/>
            <w:vAlign w:val="bottom"/>
          </w:tcPr>
          <w:p>
            <w:pPr>
              <w:spacing w:after="0"/>
              <w:rPr>
                <w:sz w:val="24"/>
                <w:szCs w:val="24"/>
                <w:color w:val="auto"/>
              </w:rPr>
            </w:pPr>
          </w:p>
        </w:tc>
      </w:tr>
      <w:tr>
        <w:trPr>
          <w:trHeight w:val="234"/>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of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DAIC</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384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Warrants, each exercisable for one share of</w:t>
            </w:r>
          </w:p>
        </w:tc>
        <w:tc>
          <w:tcPr>
            <w:tcW w:w="380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8"/>
              </w:rPr>
              <w:t>DAICW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Common Stock at an exercise price of $11.50 per</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3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r>
        <w:rPr>
          <w:rFonts w:ascii="MS PGothic" w:cs="MS PGothic" w:eastAsia="MS PGothic" w:hAnsi="MS PGothic"/>
          <w:sz w:val="18"/>
          <w:szCs w:val="18"/>
          <w:color w:val="auto"/>
        </w:rPr>
        <w:t>☐</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20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Accelerated filer</w:t>
            </w:r>
          </w:p>
        </w:tc>
        <w:tc>
          <w:tcPr>
            <w:tcW w:w="168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20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68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4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8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jc w:val="both"/>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common stock of the registrant issued and outstanding as of May 11, 2026 was 30,259,579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FOR THE QUARTER ENDED MARCH 31,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140" w:type="dxa"/>
            <w:vAlign w:val="bottom"/>
            <w:gridSpan w:val="20"/>
            <w:shd w:val="clear" w:color="auto" w:fill="CCEEFF"/>
          </w:tcPr>
          <w:p>
            <w:pPr>
              <w:ind w:left="60"/>
              <w:spacing w:after="0"/>
              <w:rPr>
                <w:sz w:val="20"/>
                <w:szCs w:val="20"/>
                <w:color w:val="auto"/>
              </w:rPr>
            </w:pPr>
            <w:r>
              <w:rPr>
                <w:rFonts w:ascii="Times New Roman" w:cs="Times New Roman" w:eastAsia="Times New Roman" w:hAnsi="Times New Roman"/>
                <w:sz w:val="18"/>
                <w:szCs w:val="18"/>
                <w:color w:val="0000EE"/>
              </w:rPr>
              <w:t>FINANCIAL INFORMATION</w:t>
            </w:r>
          </w:p>
        </w:tc>
        <w:tc>
          <w:tcPr>
            <w:tcW w:w="2140" w:type="dxa"/>
            <w:vAlign w:val="bottom"/>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r>
      <w:tr>
        <w:trPr>
          <w:trHeight w:val="196"/>
        </w:trPr>
        <w:tc>
          <w:tcPr>
            <w:tcW w:w="7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24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38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Financial Statements (unaudited)</w:t>
            </w:r>
          </w:p>
        </w:tc>
        <w:tc>
          <w:tcPr>
            <w:tcW w:w="5700" w:type="dxa"/>
            <w:vAlign w:val="bottom"/>
            <w:tcBorders>
              <w:bottom w:val="single" w:sz="8" w:color="CCEEFF"/>
            </w:tcBorders>
            <w:gridSpan w:val="9"/>
            <w:shd w:val="clear" w:color="auto" w:fill="CCEEFF"/>
          </w:tcPr>
          <w:p>
            <w:pPr>
              <w:spacing w:after="0"/>
              <w:rPr>
                <w:sz w:val="17"/>
                <w:szCs w:val="17"/>
                <w:color w:val="auto"/>
              </w:rPr>
            </w:pPr>
          </w:p>
        </w:tc>
        <w:tc>
          <w:tcPr>
            <w:tcW w:w="2140" w:type="dxa"/>
            <w:vAlign w:val="bottom"/>
            <w:tcBorders>
              <w:bottom w:val="single" w:sz="8" w:color="CCEEFF"/>
            </w:tcBorders>
            <w:shd w:val="clear" w:color="auto" w:fill="CCEEFF"/>
          </w:tcPr>
          <w:p>
            <w:pPr>
              <w:jc w:val="center"/>
              <w:ind w:left="115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176"/>
        </w:trPr>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140" w:type="dxa"/>
            <w:vAlign w:val="bottom"/>
            <w:gridSpan w:val="20"/>
          </w:tcPr>
          <w:p>
            <w:pPr>
              <w:ind w:left="60"/>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(unaudited)</w:t>
            </w:r>
          </w:p>
        </w:tc>
        <w:tc>
          <w:tcPr>
            <w:tcW w:w="2140" w:type="dxa"/>
            <w:vAlign w:val="bottom"/>
          </w:tcPr>
          <w:p>
            <w:pPr>
              <w:jc w:val="center"/>
              <w:ind w:left="115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6"/>
        </w:trPr>
        <w:tc>
          <w:tcPr>
            <w:tcW w:w="7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54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(unaudited)</w:t>
            </w:r>
          </w:p>
        </w:tc>
        <w:tc>
          <w:tcPr>
            <w:tcW w:w="3540" w:type="dxa"/>
            <w:vAlign w:val="bottom"/>
            <w:tcBorders>
              <w:bottom w:val="single" w:sz="8" w:color="CCEEFF"/>
            </w:tcBorders>
            <w:gridSpan w:val="5"/>
            <w:shd w:val="clear" w:color="auto" w:fill="CCEEFF"/>
          </w:tcPr>
          <w:p>
            <w:pPr>
              <w:spacing w:after="0"/>
              <w:rPr>
                <w:sz w:val="17"/>
                <w:szCs w:val="17"/>
                <w:color w:val="auto"/>
              </w:rPr>
            </w:pPr>
          </w:p>
        </w:tc>
        <w:tc>
          <w:tcPr>
            <w:tcW w:w="2140" w:type="dxa"/>
            <w:vAlign w:val="bottom"/>
            <w:tcBorders>
              <w:bottom w:val="single" w:sz="8" w:color="CCEEFF"/>
            </w:tcBorders>
            <w:shd w:val="clear" w:color="auto" w:fill="CCEEFF"/>
          </w:tcPr>
          <w:p>
            <w:pPr>
              <w:jc w:val="center"/>
              <w:ind w:left="1150"/>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176"/>
        </w:trPr>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140" w:type="dxa"/>
            <w:vAlign w:val="bottom"/>
            <w:gridSpan w:val="20"/>
          </w:tcPr>
          <w:p>
            <w:pPr>
              <w:ind w:left="6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Shareholders’ Equity (Deficit) (unaudited)</w:t>
            </w:r>
          </w:p>
        </w:tc>
        <w:tc>
          <w:tcPr>
            <w:tcW w:w="2140" w:type="dxa"/>
            <w:vAlign w:val="bottom"/>
          </w:tcPr>
          <w:p>
            <w:pPr>
              <w:jc w:val="center"/>
              <w:ind w:left="1150"/>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76"/>
        </w:trPr>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(unaudited)</w:t>
            </w:r>
          </w:p>
        </w:tc>
        <w:tc>
          <w:tcPr>
            <w:tcW w:w="2140" w:type="dxa"/>
            <w:vAlign w:val="bottom"/>
            <w:shd w:val="clear" w:color="auto" w:fill="CCEEFF"/>
          </w:tcPr>
          <w:p>
            <w:pPr>
              <w:jc w:val="center"/>
              <w:ind w:left="1150"/>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
        </w:trPr>
        <w:tc>
          <w:tcPr>
            <w:tcW w:w="7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8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2140" w:type="dxa"/>
            <w:vAlign w:val="bottom"/>
          </w:tcPr>
          <w:p>
            <w:pPr>
              <w:jc w:val="center"/>
              <w:ind w:left="1150"/>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
        </w:trPr>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75"/>
        </w:trPr>
        <w:tc>
          <w:tcPr>
            <w:tcW w:w="7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380" w:type="dxa"/>
            <w:vAlign w:val="bottom"/>
            <w:gridSpan w:val="21"/>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Management’s Discussion and Analysis of Financial Condition and Results of Operations</w:t>
            </w:r>
          </w:p>
        </w:tc>
        <w:tc>
          <w:tcPr>
            <w:tcW w:w="2140" w:type="dxa"/>
            <w:vAlign w:val="bottom"/>
            <w:shd w:val="clear" w:color="auto" w:fill="CCEEFF"/>
          </w:tcPr>
          <w:p>
            <w:pPr>
              <w:jc w:val="center"/>
              <w:ind w:left="115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
        </w:trPr>
        <w:tc>
          <w:tcPr>
            <w:tcW w:w="7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380" w:type="dxa"/>
            <w:vAlign w:val="bottom"/>
            <w:gridSpan w:val="21"/>
          </w:tcPr>
          <w:p>
            <w:pPr>
              <w:ind w:left="8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Quantitative and Qualitative Disclosures about Market Risk</w:t>
            </w:r>
          </w:p>
        </w:tc>
        <w:tc>
          <w:tcPr>
            <w:tcW w:w="2140" w:type="dxa"/>
            <w:vAlign w:val="bottom"/>
          </w:tcPr>
          <w:p>
            <w:pPr>
              <w:jc w:val="center"/>
              <w:ind w:left="1150"/>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24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8140" w:type="dxa"/>
            <w:vAlign w:val="bottom"/>
            <w:gridSpan w:val="20"/>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2140" w:type="dxa"/>
            <w:vAlign w:val="bottom"/>
            <w:shd w:val="clear" w:color="auto" w:fill="CCEEFF"/>
          </w:tcPr>
          <w:p>
            <w:pPr>
              <w:jc w:val="center"/>
              <w:ind w:left="1150"/>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PART II</w:t>
            </w:r>
          </w:p>
        </w:tc>
        <w:tc>
          <w:tcPr>
            <w:tcW w:w="24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8140" w:type="dxa"/>
            <w:vAlign w:val="bottom"/>
            <w:gridSpan w:val="20"/>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2140" w:type="dxa"/>
            <w:vAlign w:val="bottom"/>
            <w:shd w:val="clear" w:color="auto" w:fill="CCEEFF"/>
          </w:tcPr>
          <w:p>
            <w:pPr>
              <w:jc w:val="center"/>
              <w:ind w:left="1150"/>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6"/>
        </w:trPr>
        <w:tc>
          <w:tcPr>
            <w:tcW w:w="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r>
      <w:tr>
        <w:trPr>
          <w:trHeight w:val="196"/>
        </w:trPr>
        <w:tc>
          <w:tcPr>
            <w:tcW w:w="7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24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6740" w:type="dxa"/>
            <w:vAlign w:val="bottom"/>
            <w:tcBorders>
              <w:bottom w:val="single" w:sz="8" w:color="CCEEFF"/>
            </w:tcBorders>
            <w:gridSpan w:val="14"/>
            <w:shd w:val="clear" w:color="auto" w:fill="CCEEFF"/>
          </w:tcPr>
          <w:p>
            <w:pPr>
              <w:spacing w:after="0"/>
              <w:rPr>
                <w:sz w:val="17"/>
                <w:szCs w:val="17"/>
                <w:color w:val="auto"/>
              </w:rPr>
            </w:pPr>
          </w:p>
        </w:tc>
        <w:tc>
          <w:tcPr>
            <w:tcW w:w="2140" w:type="dxa"/>
            <w:vAlign w:val="bottom"/>
            <w:tcBorders>
              <w:bottom w:val="single" w:sz="8" w:color="CCEEFF"/>
            </w:tcBorders>
            <w:shd w:val="clear" w:color="auto" w:fill="CCEEFF"/>
          </w:tcPr>
          <w:p>
            <w:pPr>
              <w:jc w:val="center"/>
              <w:ind w:left="1150"/>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176"/>
        </w:trPr>
        <w:tc>
          <w:tcPr>
            <w:tcW w:w="7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24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8140" w:type="dxa"/>
            <w:vAlign w:val="bottom"/>
            <w:gridSpan w:val="20"/>
          </w:tcPr>
          <w:p>
            <w:pPr>
              <w:ind w:left="6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2140" w:type="dxa"/>
            <w:vAlign w:val="bottom"/>
          </w:tcPr>
          <w:p>
            <w:pPr>
              <w:jc w:val="center"/>
              <w:ind w:left="1150"/>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76"/>
        </w:trPr>
        <w:tc>
          <w:tcPr>
            <w:tcW w:w="7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380" w:type="dxa"/>
            <w:vAlign w:val="bottom"/>
            <w:gridSpan w:val="21"/>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Unregistered Sales of Equity Securities and Use of Proceeds</w:t>
            </w:r>
          </w:p>
        </w:tc>
        <w:tc>
          <w:tcPr>
            <w:tcW w:w="2140" w:type="dxa"/>
            <w:vAlign w:val="bottom"/>
            <w:shd w:val="clear" w:color="auto" w:fill="CCEEFF"/>
          </w:tcPr>
          <w:p>
            <w:pPr>
              <w:jc w:val="center"/>
              <w:ind w:left="1150"/>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0"/>
        </w:trPr>
        <w:tc>
          <w:tcPr>
            <w:tcW w:w="7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380" w:type="dxa"/>
            <w:vAlign w:val="bottom"/>
            <w:gridSpan w:val="21"/>
          </w:tcPr>
          <w:p>
            <w:pPr>
              <w:ind w:left="8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Defaults Upon Senior Securities</w:t>
            </w:r>
          </w:p>
        </w:tc>
        <w:tc>
          <w:tcPr>
            <w:tcW w:w="2140" w:type="dxa"/>
            <w:vAlign w:val="bottom"/>
          </w:tcPr>
          <w:p>
            <w:pPr>
              <w:jc w:val="center"/>
              <w:ind w:left="1150"/>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1"/>
        </w:trPr>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24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7"/>
                <w:szCs w:val="17"/>
                <w:color w:val="auto"/>
              </w:rPr>
            </w:pPr>
          </w:p>
        </w:tc>
        <w:tc>
          <w:tcPr>
            <w:tcW w:w="80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2140" w:type="dxa"/>
            <w:vAlign w:val="bottom"/>
            <w:shd w:val="clear" w:color="auto" w:fill="CCEEFF"/>
          </w:tcPr>
          <w:p>
            <w:pPr>
              <w:jc w:val="center"/>
              <w:ind w:left="1150"/>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175"/>
        </w:trPr>
        <w:tc>
          <w:tcPr>
            <w:tcW w:w="7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240" w:type="dxa"/>
            <w:vAlign w:val="bottom"/>
            <w:tcBorders>
              <w:top w:val="single" w:sz="8" w:color="CCEEFF"/>
            </w:tcBorders>
          </w:tcPr>
          <w:p>
            <w:pPr>
              <w:ind w:left="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tcPr>
          <w:p>
            <w:pPr>
              <w:spacing w:after="0"/>
              <w:rPr>
                <w:sz w:val="15"/>
                <w:szCs w:val="15"/>
                <w:color w:val="auto"/>
              </w:rPr>
            </w:pPr>
          </w:p>
        </w:tc>
        <w:tc>
          <w:tcPr>
            <w:tcW w:w="176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320" w:type="dxa"/>
            <w:vAlign w:val="bottom"/>
            <w:tcBorders>
              <w:top w:val="single" w:sz="8" w:color="CCEEFF"/>
            </w:tcBorders>
            <w:gridSpan w:val="13"/>
          </w:tcPr>
          <w:p>
            <w:pPr>
              <w:spacing w:after="0"/>
              <w:rPr>
                <w:sz w:val="15"/>
                <w:szCs w:val="15"/>
                <w:color w:val="auto"/>
              </w:rPr>
            </w:pPr>
          </w:p>
        </w:tc>
        <w:tc>
          <w:tcPr>
            <w:tcW w:w="2140" w:type="dxa"/>
            <w:vAlign w:val="bottom"/>
            <w:tcBorders>
              <w:top w:val="single" w:sz="8" w:color="CCEEFF"/>
            </w:tcBorders>
          </w:tcPr>
          <w:p>
            <w:pPr>
              <w:jc w:val="center"/>
              <w:ind w:left="1150"/>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1"/>
        </w:trPr>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24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8140" w:type="dxa"/>
            <w:vAlign w:val="bottom"/>
            <w:gridSpan w:val="20"/>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2140" w:type="dxa"/>
            <w:vAlign w:val="bottom"/>
            <w:shd w:val="clear" w:color="auto" w:fill="CCEEFF"/>
          </w:tcPr>
          <w:p>
            <w:pPr>
              <w:jc w:val="center"/>
              <w:ind w:left="115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16"/>
        </w:trPr>
        <w:tc>
          <w:tcPr>
            <w:tcW w:w="1020" w:type="dxa"/>
            <w:vAlign w:val="bottom"/>
            <w:tcBorders>
              <w:top w:val="single" w:sz="8" w:color="CCEEFF"/>
            </w:tcBorders>
            <w:gridSpan w:val="3"/>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r>
      <w:tr>
        <w:trPr>
          <w:trHeight w:val="175"/>
        </w:trPr>
        <w:tc>
          <w:tcPr>
            <w:tcW w:w="91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2140" w:type="dxa"/>
            <w:vAlign w:val="bottom"/>
            <w:shd w:val="clear" w:color="auto" w:fill="CCEEFF"/>
          </w:tcPr>
          <w:p>
            <w:pPr>
              <w:jc w:val="center"/>
              <w:ind w:left="1150"/>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7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 Financial Statements (unaudited)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CID HOLDCO, INC.</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853,728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865,624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101,969</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3,624,547</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2,323,347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1,430,881</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403,381</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480,903</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3,682,425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6,401,955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Noncurrent assets: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624,231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645,240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(ROU)</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666,733</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701,878</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2,774,682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2,920,718</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26,840</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27,893</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long-term assets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4,092,486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4,295,729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7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7,774,911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10,697,684</w:t>
            </w:r>
          </w:p>
        </w:tc>
        <w:tc>
          <w:tcPr>
            <w:tcW w:w="80" w:type="dxa"/>
            <w:vAlign w:val="bottom"/>
          </w:tcPr>
          <w:p>
            <w:pPr>
              <w:spacing w:after="0"/>
              <w:rPr>
                <w:sz w:val="24"/>
                <w:szCs w:val="24"/>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 (DEFICIT)</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5,550,995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4,124,924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2,028,606</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1,826,189</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55,138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177,222</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franchise taxes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8,428</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8,428</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78,635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78,635</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debt, net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1,127,289</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1,540,651</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debt from related parties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349,996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168,303</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236,038</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143,979</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139,963</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9,511,369</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8,132,050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1,816,067</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1,748,512</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540,004</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577,656</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long-term liabilities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2,356,071</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2,326,168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11,867,440</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10,458,218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Commitments and contingencies (Note 17)</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 (deficit)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300,000,000 shares authorized; 29,633,274 and 29,273,321 shares issued and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as of March 31, 2026 and December 31, 2025, respectively</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2,963</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2,927</w:t>
            </w: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61,821,010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61,687,873</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(65,916,502)</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(61,451,334)</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 (deficit)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(4,092,529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239,466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 (deficit)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7,774,911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10,697,684</w:t>
            </w:r>
          </w:p>
        </w:tc>
        <w:tc>
          <w:tcPr>
            <w:tcW w:w="80" w:type="dxa"/>
            <w:vAlign w:val="bottom"/>
          </w:tcPr>
          <w:p>
            <w:pPr>
              <w:spacing w:after="0"/>
              <w:rPr>
                <w:sz w:val="20"/>
                <w:szCs w:val="20"/>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6"/>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45"/>
        </w:trPr>
        <w:tc>
          <w:tcPr>
            <w:tcW w:w="8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8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310"/>
              <w:spacing w:after="0" w:line="194"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22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12,214</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2,666</w:t>
            </w:r>
          </w:p>
        </w:tc>
        <w:tc>
          <w:tcPr>
            <w:tcW w:w="280" w:type="dxa"/>
            <w:vAlign w:val="bottom"/>
          </w:tcPr>
          <w:p>
            <w:pPr>
              <w:spacing w:after="0"/>
              <w:rPr>
                <w:sz w:val="20"/>
                <w:szCs w:val="20"/>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17,078</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2,416,712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617,731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611,305</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393,864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913,145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682,749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and integration</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377,337</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167,045</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4,108,207</w:t>
            </w:r>
          </w:p>
        </w:tc>
        <w:tc>
          <w:tcPr>
            <w:tcW w:w="2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2,071,681</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(4,098,659</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(1,736,261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Other expenses: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(365,253)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SAFE notes</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611,703</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issuance of shares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(1,256)</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other expenses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(366,509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451,703</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(4,465,168)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(1,284,558)</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(4,465,168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(1,284,558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(0.15)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29,443,077</w:t>
            </w:r>
          </w:p>
        </w:tc>
        <w:tc>
          <w:tcPr>
            <w:tcW w:w="280" w:type="dxa"/>
            <w:vAlign w:val="bottom"/>
          </w:tcPr>
          <w:p>
            <w:pPr>
              <w:spacing w:after="0"/>
              <w:rPr>
                <w:sz w:val="20"/>
                <w:szCs w:val="20"/>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12,210,718</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9"/>
        </w:trPr>
        <w:tc>
          <w:tcPr>
            <w:tcW w:w="4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8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3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3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136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20"/>
                <w:szCs w:val="20"/>
                <w:color w:val="auto"/>
              </w:rPr>
            </w:pPr>
          </w:p>
        </w:tc>
        <w:tc>
          <w:tcPr>
            <w:tcW w:w="116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Equity (Deficit)</w:t>
            </w: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as of December 31, 2025</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29,273,321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61,687,873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(61,451,334)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239,466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1,753</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issuance for services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339,953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124,966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 issuance for cash</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6,418</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(4,465,168)</w:t>
            </w:r>
          </w:p>
        </w:tc>
        <w:tc>
          <w:tcPr>
            <w:tcW w:w="2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(4,465,168)</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Balances as of March 31, 2026</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4620" w:type="dxa"/>
            <w:vAlign w:val="bottom"/>
            <w:gridSpan w:val="2"/>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29,633,274</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61,821,010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(65,916,502</w:t>
            </w:r>
          </w:p>
        </w:tc>
        <w:tc>
          <w:tcPr>
            <w:tcW w:w="2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(4,092,529</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9"/>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38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Legacy Common Stock</w:t>
            </w:r>
          </w:p>
        </w:tc>
        <w:tc>
          <w:tcPr>
            <w:tcW w:w="210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4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37"/>
        </w:trPr>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28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0"/>
                <w:szCs w:val="20"/>
                <w:color w:val="auto"/>
              </w:rPr>
            </w:pPr>
          </w:p>
        </w:tc>
        <w:tc>
          <w:tcPr>
            <w:tcW w:w="102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20"/>
                <w:szCs w:val="20"/>
                <w:color w:val="auto"/>
              </w:rPr>
            </w:pPr>
          </w:p>
        </w:tc>
        <w:tc>
          <w:tcPr>
            <w:tcW w:w="124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20"/>
                <w:szCs w:val="20"/>
                <w:color w:val="auto"/>
              </w:rPr>
            </w:pPr>
          </w:p>
        </w:tc>
        <w:tc>
          <w:tcPr>
            <w:tcW w:w="10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16"/>
        </w:trPr>
        <w:tc>
          <w:tcPr>
            <w:tcW w:w="3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as of December 31, 2024</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108,975,000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108,975</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330,366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(24,733,263)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(24,293,922)</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Retroactive application of</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recapitalization</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(108,975,000)</w:t>
            </w:r>
          </w:p>
        </w:tc>
        <w:tc>
          <w:tcPr>
            <w:tcW w:w="12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(108,975)</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12,210,718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107,754</w:t>
            </w:r>
          </w:p>
        </w:tc>
        <w:tc>
          <w:tcPr>
            <w:tcW w:w="134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3120" w:type="dxa"/>
            <w:vAlign w:val="bottom"/>
            <w:tcBorders>
              <w:top w:val="single" w:sz="8" w:color="CCEEFF"/>
            </w:tcBorders>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Balances as of December 31, 2024,</w:t>
            </w:r>
          </w:p>
        </w:tc>
        <w:tc>
          <w:tcPr>
            <w:tcW w:w="10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12,210,718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438,120</w:t>
            </w:r>
          </w:p>
        </w:tc>
        <w:tc>
          <w:tcPr>
            <w:tcW w:w="134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(24,733,263)</w:t>
            </w:r>
          </w:p>
        </w:tc>
        <w:tc>
          <w:tcPr>
            <w:tcW w:w="140" w:type="dxa"/>
            <w:vAlign w:val="bottom"/>
            <w:shd w:val="clear" w:color="auto" w:fill="CCEEFF"/>
          </w:tcPr>
          <w:p>
            <w:pPr>
              <w:spacing w:after="0"/>
              <w:rPr>
                <w:sz w:val="23"/>
                <w:szCs w:val="23"/>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(24,293,922)</w:t>
            </w:r>
          </w:p>
        </w:tc>
        <w:tc>
          <w:tcPr>
            <w:tcW w:w="0" w:type="dxa"/>
            <w:vAlign w:val="bottom"/>
          </w:tcPr>
          <w:p>
            <w:pPr>
              <w:spacing w:after="0"/>
              <w:rPr>
                <w:sz w:val="1"/>
                <w:szCs w:val="1"/>
                <w:color w:val="auto"/>
              </w:rPr>
            </w:pPr>
          </w:p>
        </w:tc>
      </w:tr>
      <w:tr>
        <w:trPr>
          <w:trHeight w:val="203"/>
        </w:trPr>
        <w:tc>
          <w:tcPr>
            <w:tcW w:w="312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10,005</w:t>
            </w: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(1,284,558)</w:t>
            </w:r>
          </w:p>
        </w:tc>
        <w:tc>
          <w:tcPr>
            <w:tcW w:w="1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(1,284,558)</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Balances as of March 31, 2025</w:t>
            </w: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3120" w:type="dxa"/>
            <w:vAlign w:val="bottom"/>
            <w:gridSpan w:val="2"/>
            <w:vMerge w:val="continue"/>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12,210,718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448,125</w:t>
            </w:r>
          </w:p>
        </w:tc>
        <w:tc>
          <w:tcPr>
            <w:tcW w:w="100" w:type="dxa"/>
            <w:vAlign w:val="bottom"/>
            <w:vMerge w:val="continue"/>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(26,017,821</w:t>
            </w:r>
          </w:p>
        </w:tc>
        <w:tc>
          <w:tcPr>
            <w:tcW w:w="2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(25,568,475</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(4,465,168)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(1,284,558)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167,045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origination fees</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47,500</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SAFE notes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(611,703)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1,753</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10,005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35,145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12,242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issuance of shares</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1,256</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for services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125,000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3,522,578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44,959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78,575</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49,255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(892,466)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1,426,071</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62,603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202,417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(122,084)</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(67,704)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payable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160,000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(33,636)</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16,363</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(96,030)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93,806</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(1,721,469</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2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(278,413)</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(278,413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bridge loans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1,600,000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SAFE notes</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23,752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short-term loan to related parties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349,996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new shares</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5,164</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short-term loan</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(460,862)</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(105,702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1,623,752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during the period</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beginning of year</w:t>
            </w:r>
          </w:p>
        </w:tc>
        <w:tc>
          <w:tcPr>
            <w:tcW w:w="22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865,624</w:t>
            </w:r>
          </w:p>
        </w:tc>
        <w:tc>
          <w:tcPr>
            <w:tcW w:w="220" w:type="dxa"/>
            <w:vAlign w:val="bottom"/>
          </w:tcPr>
          <w:p>
            <w:pPr>
              <w:spacing w:after="0"/>
              <w:rPr>
                <w:sz w:val="19"/>
                <w:szCs w:val="19"/>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721,032</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853,728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344,902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 OF CASH ACTIVITIES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313,953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Company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Nature of Operations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CID Holdco, Inc. (the “Company”, or “CID Holdco”, or “CID”), formerly known as SEE ID Inc., dba Dot AI (the “Legacy Company” or “SEE ID”), was incorporated in Delaware with its headquarters in Las Vegas, Nevada. The Company helps businesses transform their operations by optimizing safety, security, and efficiency of operations through in-process tracking of resources. Through the Company’s extensive research and development initiatives, the Company’s main focus includes areas such as Industrial IoT, Indoor &amp; Outdoor tracking with seamless transitions, Passive RFID (including Bluetooth and 5G), Collision Avoidance, real- time locating system, Dolly Management, and related supported software applications.</w:t>
      </w:r>
    </w:p>
    <w:p>
      <w:pPr>
        <w:spacing w:after="0" w:line="183"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The Company is the developer of an asset tracking platform intended to push the limits of near real-time precision-based location technology. The Company’s platform leverages the technologies including the patented passive and active RFID tracking solutions, low power edge camera platforms utilizing artificial intelligence, enabling users to give accuracy to all mapping technologies in areas that are troublesome. Through its technological solutions, the Company serves multiple industries including construction, military, mining, retail, warehousing and manufacturing.</w:t>
      </w:r>
    </w:p>
    <w:p>
      <w:pPr>
        <w:spacing w:after="0" w:line="180"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In July 2024, the Legacy Company incorporated Dot Works, Inc., a Puerto Rico corporation, as a wholly-owned subsidiary. Dot Works, based in Puerto Rico, serves as the primary manufacturing facility for Dot Ai, producing smart hardware devices and embedded technological components used in AI-driven enterprise solutions (ZIM Bridges and Smart Industrial TAGS). Activities include assembly, quality control, and packaging of proprietary systems.</w:t>
      </w:r>
    </w:p>
    <w:p>
      <w:pPr>
        <w:spacing w:after="0" w:line="15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March 18, 2024, ShoulderUp Technology Acquisition Corp., a Delaware corporation (“ShoulderUp”), entered into a Business Combination Agreement (the “Business Combination Agreement”) by and among CID Holdco, Inc., a Delaware corporation and a direct, wholly-owned subsidiary of ShoulderUp (“Holdings”), ShoulderUp Merger Sub, Inc., a Delaware corporation and wholly-owned subsidiary of Holdings (“ShoulderUp Merger Sub”), SEI Merger Sub, Inc., a Delaware corporation and a direct, wholly-owned subsidiary of Holdings (“SEI Merger Sub” and together with ShoulderUp Merger Sub, the “Merger Subs”), and SEE ID, Inc., a Nevada corporation (collectively with any predecessor entities, the “Company”).</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June 18, 2025 (the “Closing Date” or “Closing”), the Company consummated the Business Combination transactions by and among the Company, SUAC, ShoulderUp Merger Sub, Inc., SEI Merger Sub, Inc., and SEE ID, Inc. Pursuant to the Business Combination Agreement, on the Closing Date, (i) ShoulderUp Merger Sub merged with and into SUAC (the “ShoulderUp Merger”), with SUAC surviving the ShoulderUp Merger as a wholly-owned subsidiary of the Company (“SUAC Surviving Company”); and (ii) simultaneously with the ShoulderUp Merger, SEI Merger Sub merged with and into SEE ID (“the SEE ID Merger”), with SEE ID surviving the SEE ID Merger as a wholly-owned subsidiary of the Company (the “Surviving Company”) (the ShoulderUp Merger and the SEE ID Merger, together the “Mergers” and together with the other transactions contemplated by the Business Combination Agreement, the “Business Combination”).</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7" w:name="page8"/>
    <w:bookmarkEnd w:id="7"/>
    <w:p>
      <w:pPr>
        <w:spacing w:after="0" w:line="254" w:lineRule="auto"/>
        <w:rPr>
          <w:sz w:val="20"/>
          <w:szCs w:val="20"/>
          <w:color w:val="auto"/>
        </w:rPr>
      </w:pPr>
      <w:r>
        <w:rPr>
          <w:rFonts w:ascii="Times New Roman" w:cs="Times New Roman" w:eastAsia="Times New Roman" w:hAnsi="Times New Roman"/>
          <w:sz w:val="18"/>
          <w:szCs w:val="18"/>
          <w:color w:val="auto"/>
        </w:rPr>
        <w:t>Pursuant to the Business Combination Agreement, on June 18, 2025, each of the following transactions occurred in the following order: (a) ShoulderUp Merger Sub merged with and into SUAC, with SUAC continuing as the surviving entity, and, in connection therewith, each ordinary share of SUAC issued and outstanding immediately prior to the Closing Date were cancelled in exchange for the right of the holder thereof to receive, with respect to each ordinary share that is not redeemed or converted at Closing, one share of common stock of the Company (“Common Stock”); (b) SEI Merger Sub merged with and into SEE ID, with SEE ID continuing as the surviving entity, and, in connection therewith, (i) SEE ID Common Stock issued and outstanding immediately prior to the Closing Date were cancelled in exchange for the right of the holders thereof to receive shares of Common Stock as set forth in the Business Combination Agreement and (ii) any convertible securities of SEE ID were converted; and (c) as a result of the Mergers, SUAC and SEE ID each became wholly owned subsidiaries of the Company, and the Company became a publicly-traded company, all upon the terms and subject to the conditions set forth in the Business Combination Agreement and in accordance with the provisions of applicable law.</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Closing, Continental Stock Transfer &amp; Trust Company (the “Transfer Agent”), SUAC and the Company entered into the Warrant Assumption and Assignment Agreement (the “Warrant Assumption Agreement”), pursuant to which, among other things, SUAC assigned to the Company all of SUAC’s right, title and interests, and the Company assumed all of SUAC’s liabilities and obligations under the certain Warrant Agreement, dated as of November 16, 2021, between SUAC and Continental Stock Transfer &amp; Trust Company (the “Existing Warrant Agreement”). As a result, each Warrant automatically ceased to represent a right to acquire SUAC Class A Common Stock and instead represents a right to acquire shares of the Company’s Common Stock pursuant to the terms and conditions of the Existing Warrant Agreement (as amended by the Warrant Assumption Agreement). As such, the holders of each whole warrant to purchase SUAC Class A Common Stock received one warrant to purchase the Company’s Common Stock at an exercise price of $11.50 per share.</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CID Holdco filed a registration statement on Form S-4 (File No. 333-282600) with the U.S. Securities and Exchange Commission (“SEC”), as amended (the “Registration Statement”). The Registration Statement was declared effective by the SEC on June 18, 2025. Subsequently, the Company filed a registration statement on Form S-1 (File No. 333-290052), as amended, which was declared effective by the SEC on September 18,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The Company follows Financial Accounting Standards Board (“FASB”) Accounting Standards Codification (“ASC”) Topic 205-40, </w:t>
      </w:r>
      <w:r>
        <w:rPr>
          <w:rFonts w:ascii="Times New Roman" w:cs="Times New Roman" w:eastAsia="Times New Roman" w:hAnsi="Times New Roman"/>
          <w:sz w:val="18"/>
          <w:szCs w:val="18"/>
          <w:i w:val="1"/>
          <w:iCs w:val="1"/>
          <w:color w:val="auto"/>
        </w:rPr>
        <w:t>Presentation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Statements — Going Concern</w:t>
      </w:r>
      <w:r>
        <w:rPr>
          <w:rFonts w:ascii="Times New Roman" w:cs="Times New Roman" w:eastAsia="Times New Roman" w:hAnsi="Times New Roman"/>
          <w:sz w:val="18"/>
          <w:szCs w:val="18"/>
          <w:color w:val="auto"/>
        </w:rPr>
        <w:t>, which requires that management evaluate whether there are relevant conditions and events that in aggregate raise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 doubt about the entity’s ability to continue as a going concern and to meet its obligations as they become due within one year after the date that the condensed consolidated financial statements are issued. Under the guidance, the Company must first evaluate whether there are conditions and events that raise substantial doubt about the entity’s ability to continue as a going concern (step 1). If the Company concludes substantial doubt is raised, management also is required to consider whether its plans alleviate that doubt (step 2).</w:t>
      </w:r>
    </w:p>
    <w:p>
      <w:pPr>
        <w:spacing w:after="0" w:line="1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has a limited operating history, has incurred significant operating losses since its inception, and the revenue and income potential of the Company’s business and market are unproven. The preparation of these condensed consolidated financial statements does not include any adjustments that may result from the outcome of this uncertainty. The Company’s condensed consolidated financial statements are prepared using the generally accepted accounting principles applicable to a going concern, which contemplates the realization of assets and liquidation of liabilities in the normal course of business. As of March 31, 2026, the Company had $853,728 in cash, a working capital deficit of $5,828,944 and accumulated deficit of $65,916,502. To date, the Company has funded its operations primarily with the net proceeds from the issuance of convertible promissory notes and the issuance and sale of equity securities. Following June 18, 2025, the Company has also funded its operations with proceeds from the Business Combination, short-term borrowings, and proceeds from the issuance of shares under its share subscription line of credit. The Company expects to incur substantial operating losses for the next several years and has obtained additional near-term financing to continue its research and development activities.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8" w:name="page9"/>
    <w:bookmarkEnd w:id="8"/>
    <w:p>
      <w:pPr>
        <w:ind w:right="460"/>
        <w:spacing w:after="0" w:line="282" w:lineRule="auto"/>
        <w:rPr>
          <w:sz w:val="20"/>
          <w:szCs w:val="20"/>
          <w:color w:val="auto"/>
        </w:rPr>
      </w:pPr>
      <w:r>
        <w:rPr>
          <w:rFonts w:ascii="Times New Roman" w:cs="Times New Roman" w:eastAsia="Times New Roman" w:hAnsi="Times New Roman"/>
          <w:sz w:val="18"/>
          <w:szCs w:val="18"/>
          <w:color w:val="auto"/>
        </w:rPr>
        <w:t>On June 18, 2025, the Company entered into a share subscription line of credit agreement under which the Company can access up to $50,000,000 in aggregate proceeds (see Note 9) to fund its R&amp;D activities and its operations.</w:t>
      </w:r>
    </w:p>
    <w:p>
      <w:pPr>
        <w:spacing w:after="0" w:line="16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On December 5, 2025, the Company entered into a loan agreement with J.J. Astor &amp; Co. for up to $5,000,000 in senior secured convertible loans, consisting of an initial $2,000,000 tranche and up to three additional $1,000,000 tranches. The initial tranche was issued as a $2,000,000 convertible note, of which $1,810,000 was funded, net of fees. The note matures on November 30, 2026 and is repayable in twelve monthly installments, consisting of an initial payment of $108,334 followed by eleven monthly payments of approximately $226,515, totaling $2,600,000. Each additional tranche, if funded at the lender’s discretion and subject to specified conditions (including equity line of credit (“ELOC”) availability, Nasdaq listing, minimum stock price, and trading volume requirements), will be issued as a $1,000,000 convertible note with $960,000 funded net of fees and accompanied by a warrant. The Company is required to use proceeds from its ELOC to make monthly payments, with 80% of ELOC proceeds remitted directly to the lender. Certain extraordinary receipts must also be applied toward repayment. In connection with the initial funding, the Company issued a warrant to purchase 230,770 shares at an exercise price of $1.69 per share, subject to customary adjustments and a 4.99% beneficial ownership limitation (which may be increased to 9.99% upon agreement). Conversions and warrant exercises are subject to Nasdaq rules.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Edmund Nabrotzky, Chief Executive Officer of the Company, Charles Maddox, Chief Financial Officer and Chief Operating Officer of the Company, and Vijayan Nambiar, Chief Technology Officer of the Company, loaned the Company an aggregate of $349,996 and may make additional loans to the Company up to an aggregate amount of $600,000 (collectively, the “Executive Loans”).</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April 17, 2026, the Company entered into a financing arrangement with an investor consisting of an equity purchase facility and senior secured convertible promissory notes. Under the equity purchase facility, the Company may sell up to $10,000,000 of its common stock over time through purchase notices, subject to specified pricing terms and ownership limitations. In addition, the Company entered into a note purchase agreement with the investor pursuant to which the investor agreed to purchase senior secured convertible promissory notes in an aggregate principal amount of up to $2,875,000, reflecting a 20% original issue discount applied to aggregate loan proceeds of up to $2,300,000. The notes bear interest at 8% per annum and are issued at a discount. The convertible notes are secured by substantially all of the Company’s assets and are convertible into common stock at a discount to market price, with provisions for a reduced conversion price upon certain events of default. In connection with the financing, the investor will receive commitment shares valued at $120,000 and warrants to purchase up to $2,000,000 of common stock at an exercise price equal to 99% of the closing market price on the trading day prior to exercise. Total share issuances under the agreements are subject to a 19.99% cap of the Company’s outstanding shares unless stockholder approval is obtained. The Company expects to use the proceeds primarily for general corporate purposes, including supporting liquidity and servicing existing debt obligations. The note is currently structured as a second priority lien, subordinated to the Company’s obligations to J.J. Astor &amp; Co. pursuant to a loan agreement dated December 5, 2025, until those obligations are discharged in full.</w:t>
      </w:r>
    </w:p>
    <w:p>
      <w:pPr>
        <w:spacing w:after="0" w:line="1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the Company is unable to obtain necessary funds through its business operations and the proceeds realized through the Business Combination, significant reductions in spending and the delay or cancellation of planned activities may be necessary. These actions would have a material adverse effect on the Company’s business, results of operations, and prospects. These conditions raise substantial doubt about the Company’s ability to continue as a going concern within one year from the date these condensed consolidated financial statements are issued. The accompanying quarterly condensed consolidated financial statements do not include any adjustments relating to the recoverability and classification of recorded asset amounts or the amounts and classification of liabilities that might result from the outcome of these uncertainties.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CID Holdco, and its wholly-owned subsidiaries, Dot Ai and Dot Works, which are collectively referred to as the “Company” in these condensed consolidated financial statements. All intercompany balances and transactions have been eliminated upon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CID Holdco, Inc. and its subsidiaries, with all intercompany transactions and balances eliminated in consolidation. The Company has prepared the condensed consolidated financial statements in accordance with accounting principles generally accepted in the United States of America (“U.S. GAAP”) and in conformity with the rules and regulations of the SEC. In the opinion of management, the condensed consolidated financial statements reflect all adjustments, consisting only of normal recurring adjustments, necessary for the fair presentation of the Company’s financial position, results of operations, and cash flows for the periods presented.</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Company’s Annual Report on Form 10-K as filed with the SEC on March 11, 2026. The interim results for the three months ended March 31, 2026, are not necessarily indicative of the results to be expected for the year ending December 31, 2026 or for any future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2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Accounting Standards Update (“ASU”) No.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xml:space="preserve"> which requires disclosures of certain additional expense information on an annual and interim basis, including, among other items, the amounts of purchases of inventory, employee compensation, depreciation and intangible asset amortization included within each income statement expense caption, as applicable. The updated standard is effective for our annual periods beginning in fiscal year 2026 and interim periods beginning in the first quarter of fiscal year 2027. The Company is currently evaluating the impact of this guidance but does not anticipate a material impact on its condensed consolidated financial statements or related disclosures.</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No. 2025-11, Interim Reporting (Topic 270): Narrow-Scope Improvements (“ASU 2025-11”). The amendments clarify and reorganize existing interim reporting guidance, including the scope of Topic 270 and interim disclosure requirements, and introduce a disclosure principle requiring entities to disclose material events or changes occurring since the most recent annual reporting period. ASU 2025-11 is effective for interim reporting periods within annual reporting periods beginning after December 15, 2027. Early adoption is permitted. The Company is currently evaluating the impact of ASU 2025-11 on its unaudited condensed consolidated financial statements and related disclosures.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which prescribes standardized categories and enhanced disaggregation of information in the rate reconciliation, requires disclosure of disaggregated income taxes paid, and modifies certain other income tax-related disclosure requirements. The standard is effective for fiscal years beginning after December 15, 2024, and was adopted by the Company in its fiscal year 2025 annual reporting period. The Company evaluated the impact of adopting this guidance and because it continues to operate in a loss position and does not pay income taxes, the adoption did not have a material impact on its condensed consolidated financial statements or related disclosures.</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10" w:name="page11"/>
    <w:bookmarkEnd w:id="10"/>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2024-04, </w:t>
      </w:r>
      <w:r>
        <w:rPr>
          <w:rFonts w:ascii="Times New Roman" w:cs="Times New Roman" w:eastAsia="Times New Roman" w:hAnsi="Times New Roman"/>
          <w:sz w:val="18"/>
          <w:szCs w:val="18"/>
          <w:i w:val="1"/>
          <w:iCs w:val="1"/>
          <w:color w:val="auto"/>
        </w:rPr>
        <w:t>Debt—Debt with Conversion and Other Options (Subtopic 470-20): Clarifications to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Certain Convertible Debt Instruments</w:t>
      </w:r>
      <w:r>
        <w:rPr>
          <w:rFonts w:ascii="Times New Roman" w:cs="Times New Roman" w:eastAsia="Times New Roman" w:hAnsi="Times New Roman"/>
          <w:sz w:val="18"/>
          <w:szCs w:val="18"/>
          <w:color w:val="auto"/>
        </w:rPr>
        <w:t>, which amends ASC 470-202 to clarify the requirements related to accounting for the settlement of a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as an induced conversion. The ASU is intended to improve the relevance and consistency in application of the induced conversion guidance in ASC 470-20 for (a) convertible debt instruments with cash conversion features and (b) debt instruments that are not currently convertible. The ASU removes references limiting induced conversion guidance to settlements in equity, thereby clarifying that the guidance may apply to conversions settled in equity, cash (or other assets), or a combination thereof. It also clarifies that, to qualify for induced conversion accounting, (i) the inducement offer must preserve the form and amount of consideration issuable under the original conversion privileges, (ii) the instrument must contain a substantive conversion feature at issuance and on the date the inducement offer is accepted, and (iii) the conversion must result from changed conversion privileges exercisable only for a limited period. The ASU further provides implementation guidance and examples, and clarifies that inducement expense is measured as the excess of the fair value of the consideration transferred over the fair value of the consideration issuable under the original conversion terms. The amendments in ASU No. 2024-04 are effective for fiscal years beginning after December 15, 2025, including interim periods within those fiscal years. As of March 31, 2026, the guidance does not have an impact on the Company, as there have been no modifications to the original conversion terms of its convertible debt instruments to induce holders to convert their holdings into equity shares.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Other than the accounting standards described above, the Company did not adopt any new accounting standards during the three months ended March 31, 2026 that had a material impact on its condensed consolidated financial statements. The Company has reviewed all recently issued accounting pronouncements and determined that no other standards adopted during the period materially affected its condensed consolidated financial position, results of operations, cash flows, or related disclosures.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the carrying amount of an asset may not be fully recoverable. Recoverability of assets to be held and used is measured by a comparison of the carrying amount of the assets to their fair value, which is normally determined through analysis of the future net cash flows expected to be generated by the assets. If such assets are considered to be impaired, the impairment to be recognized is measured by the amount that the carrying amount of the assets exceeds the fair value of the assets. As of March 31, 2026 and December 31, 2025, no such indicators of impairment were identified, and accordingly, no impairment losses were recognized.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Revisions and Reclassifications</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Certain revisions and reclassifications have been made to amounts in prior years’ financial statements and notes to the financial statements to conform to current year presentation. These revisions and reclassifications had no impact on total loss from operations, net loss, or shareholders’ equity (deficit) for any period presented (See Note 4).</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75" w:right="4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3 – Business Combination and Reverse Recapitalization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18, 2024, the Company entered into a Business Combination Agreement with ShoulderUp, ShoulderUp Merger Sub, Inc., SEI Merger Sub,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Legacy Company.</w:t>
      </w:r>
    </w:p>
    <w:p>
      <w:pPr>
        <w:spacing w:after="0" w:line="20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June 18, 2025, the Company consummated its Business Combination pursuant to the terms of the Business Combination Agreement. The Business Combination was structured as follows:</w:t>
      </w:r>
    </w:p>
    <w:p>
      <w:pPr>
        <w:spacing w:after="0" w:line="162" w:lineRule="exact"/>
        <w:rPr>
          <w:sz w:val="20"/>
          <w:szCs w:val="20"/>
          <w:color w:val="auto"/>
        </w:rPr>
      </w:pPr>
    </w:p>
    <w:p>
      <w:pPr>
        <w:ind w:left="660" w:right="4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each ordinary share of ShoulderUp that was not redeemed or converted was exchanged for one share of CID Holdco Inc. Common Stock. Each issued and outstanding unit of ShoulderUp (“Unit”) was automatically separated into (i) one ordinary share and (ii) one-half of one warrant. Each whole warrant is exercisable to purchase one ordinary share at an exercise price of $11.50 per share.</w:t>
      </w:r>
    </w:p>
    <w:p>
      <w:pPr>
        <w:spacing w:after="0" w:line="17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506,589 shares of Common Stock were issued to the public shareholders of ShoulderUp. An additional 6,698,333 shares were issued to ShoulderUp’s officers and directors, ShoulderUp Technology Sponsor LLC (the “Sponsor”), and each transferee of founder shares.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1,345,001 shares of Common Stock were issued to certain original public shareholders who had previously agreed not to redeem their shares.</w:t>
      </w:r>
    </w:p>
    <w:p>
      <w:pPr>
        <w:spacing w:after="0" w:line="225"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482,500 shares of Common Stock were issued to the holders of the ShoulderUp bridge loan to partially settle the outstanding loan balance at Closing. Lastly, 150,000 shares were issued to legal services provider DLA Piper LLP to partially settle outstanding service fees, pursuant to the Expense Release and Payment Agreement executed on June 3, 2025.</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SEE ID’s 108,975,000 Common Stock issued and outstanding immediately prior to the Closing was canceled and converted into 12,210,718 shares of the Company’s Common Stock after giving effect to the exchange ratio of 0.11205.</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2,909,057 shares of Common Stock were issued to the SEE ID SAFE note 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11,205 shares of Common Stock were issued in exchange for financial advisory services at Closing.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3,323,536 shares of Common Stock were issued to three major PIPE investors.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assumed 15,654,983 public and private warrants of ShoulderUp, net of 20,017 forfeitures.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Prior to the Closing, certain public shareholders of ShoulderUp exercised their rights to redeem certain ordinary shares for funds previously held in the trust account, resulting in the redemption of 2,000 ordinary shares for an aggregate payment of approximately $22,019. After redemptions, there was a total of 506,589 ordinary shares, which were converted into Common Stock in connection with the Business Combination, and approximately $5.58 million remained in the trust account.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Ownership Upon Closing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Common Stock issued in connection with the Business Combination and subsequent equity conversion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980" w:type="dxa"/>
            <w:vAlign w:val="bottom"/>
          </w:tcPr>
          <w:p>
            <w:pPr>
              <w:spacing w:after="0"/>
              <w:rPr>
                <w:sz w:val="21"/>
                <w:szCs w:val="21"/>
                <w:color w:val="auto"/>
              </w:rPr>
            </w:pPr>
          </w:p>
        </w:tc>
        <w:tc>
          <w:tcPr>
            <w:tcW w:w="2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Common Stock</w:t>
            </w:r>
          </w:p>
        </w:tc>
      </w:tr>
      <w:tr>
        <w:trPr>
          <w:trHeight w:val="216"/>
        </w:trPr>
        <w:tc>
          <w:tcPr>
            <w:tcW w:w="8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outstanding prior to the Business Combination</w:t>
            </w:r>
          </w:p>
        </w:tc>
        <w:tc>
          <w:tcPr>
            <w:tcW w:w="9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Less: Redemption of ordinary shares</w:t>
            </w:r>
          </w:p>
        </w:tc>
        <w:tc>
          <w:tcPr>
            <w:tcW w:w="2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held by ShoulderUp’s officers and directors, the Sponsor and each transferee of founder shares</w:t>
            </w:r>
          </w:p>
        </w:tc>
        <w:tc>
          <w:tcPr>
            <w:tcW w:w="2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6,698,333</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held by non-redemption share holders</w:t>
            </w:r>
          </w:p>
        </w:tc>
        <w:tc>
          <w:tcPr>
            <w:tcW w:w="2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1,345,001</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held by ShoulderUp bridge loan holder</w:t>
            </w:r>
          </w:p>
        </w:tc>
        <w:tc>
          <w:tcPr>
            <w:tcW w:w="2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482,500</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held by DLA Piper, LLP</w:t>
            </w:r>
          </w:p>
        </w:tc>
        <w:tc>
          <w:tcPr>
            <w:tcW w:w="2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to holders of SEE ID Inc.</w:t>
            </w:r>
          </w:p>
        </w:tc>
        <w:tc>
          <w:tcPr>
            <w:tcW w:w="2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12,210,718</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to SEE ID SAFE note holders</w:t>
            </w:r>
          </w:p>
        </w:tc>
        <w:tc>
          <w:tcPr>
            <w:tcW w:w="2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2,909,057</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to StartUpNV</w:t>
            </w:r>
          </w:p>
        </w:tc>
        <w:tc>
          <w:tcPr>
            <w:tcW w:w="2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11,205</w:t>
            </w:r>
          </w:p>
        </w:tc>
      </w:tr>
      <w:tr>
        <w:trPr>
          <w:trHeight w:val="237"/>
        </w:trPr>
        <w:tc>
          <w:tcPr>
            <w:tcW w:w="8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Common Stock issued to PIPE investors</w:t>
            </w:r>
          </w:p>
        </w:tc>
        <w:tc>
          <w:tcPr>
            <w:tcW w:w="9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3,323,536</w:t>
            </w:r>
          </w:p>
        </w:tc>
        <w:tc>
          <w:tcPr>
            <w:tcW w:w="100" w:type="dxa"/>
            <w:vAlign w:val="bottom"/>
            <w:tcBorders>
              <w:bottom w:val="single" w:sz="8" w:color="CCEEFF"/>
            </w:tcBorders>
          </w:tcPr>
          <w:p>
            <w:pPr>
              <w:spacing w:after="0"/>
              <w:rPr>
                <w:sz w:val="20"/>
                <w:szCs w:val="20"/>
                <w:color w:val="auto"/>
              </w:rPr>
            </w:pPr>
          </w:p>
        </w:tc>
      </w:tr>
      <w:tr>
        <w:trPr>
          <w:trHeight w:val="250"/>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Upon the Business Combination</w:t>
            </w:r>
          </w:p>
        </w:tc>
        <w:tc>
          <w:tcPr>
            <w:tcW w:w="2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27,636,939</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Legacy Company incurred $2,726,183 in transaction costs in connection with the Business Combination, which was determined not to be a capital-raising transaction for the Legacy Company. The $2,726,183 consists of the following:</w:t>
      </w:r>
    </w:p>
    <w:p>
      <w:pPr>
        <w:spacing w:after="0" w:line="16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$1,003,500 in assumed expenses from ShoulderUp for financial advisory services provided by Cohen Capital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$156,870 for financial advisory services provided by a financial advisor;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$295,000 in registration fees paid to Nasdaq Corporate Solutions, LLC;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$271,079 paid to Continental Stock Transfer &amp; Trust Co.;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$126,812 paid to Edgar Agents, LLC;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$872,922 in bonus expenses related to the successful closing of the Business Combination.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tables reconcile elements of the Business Combination to the Company’s condensed consolidated financial statements, and should be read in conjunction with the footnotes referenced above: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880" w:type="dxa"/>
            <w:vAlign w:val="bottom"/>
          </w:tcPr>
          <w:p>
            <w:pPr>
              <w:spacing w:after="0"/>
              <w:rPr>
                <w:sz w:val="21"/>
                <w:szCs w:val="21"/>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Recapitalization</w:t>
            </w:r>
          </w:p>
        </w:tc>
        <w:tc>
          <w:tcPr>
            <w:tcW w:w="0" w:type="dxa"/>
            <w:vAlign w:val="bottom"/>
          </w:tcPr>
          <w:p>
            <w:pPr>
              <w:spacing w:after="0"/>
              <w:rPr>
                <w:sz w:val="1"/>
                <w:szCs w:val="1"/>
                <w:color w:val="auto"/>
              </w:rPr>
            </w:pPr>
          </w:p>
        </w:tc>
      </w:tr>
      <w:tr>
        <w:trPr>
          <w:trHeight w:val="216"/>
        </w:trPr>
        <w:tc>
          <w:tcPr>
            <w:tcW w:w="9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Closing proceeds</w:t>
            </w: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Trust account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5,577,304</w:t>
            </w:r>
          </w:p>
        </w:tc>
        <w:tc>
          <w:tcPr>
            <w:tcW w:w="0" w:type="dxa"/>
            <w:vAlign w:val="bottom"/>
          </w:tcPr>
          <w:p>
            <w:pPr>
              <w:spacing w:after="0"/>
              <w:rPr>
                <w:sz w:val="1"/>
                <w:szCs w:val="1"/>
                <w:color w:val="auto"/>
              </w:rPr>
            </w:pPr>
          </w:p>
        </w:tc>
      </w:tr>
      <w:tr>
        <w:trPr>
          <w:trHeight w:val="216"/>
        </w:trPr>
        <w:tc>
          <w:tcPr>
            <w:tcW w:w="9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PIPE investors</w:t>
            </w:r>
          </w:p>
        </w:tc>
        <w:tc>
          <w:tcPr>
            <w:tcW w:w="2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10,837,643</w:t>
            </w: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legacy ShoulderUp bank accounts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74,501</w:t>
            </w:r>
          </w:p>
        </w:tc>
        <w:tc>
          <w:tcPr>
            <w:tcW w:w="0" w:type="dxa"/>
            <w:vAlign w:val="bottom"/>
          </w:tcPr>
          <w:p>
            <w:pPr>
              <w:spacing w:after="0"/>
              <w:rPr>
                <w:sz w:val="1"/>
                <w:szCs w:val="1"/>
                <w:color w:val="auto"/>
              </w:rPr>
            </w:pPr>
          </w:p>
        </w:tc>
      </w:tr>
      <w:tr>
        <w:trPr>
          <w:trHeight w:val="216"/>
        </w:trPr>
        <w:tc>
          <w:tcPr>
            <w:tcW w:w="9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Closing disbursements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9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Payment to purchase founder shares</w:t>
            </w: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10"/>
        </w:trPr>
        <w:tc>
          <w:tcPr>
            <w:tcW w:w="98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proceeds from the Business Combination</w:t>
            </w:r>
          </w:p>
        </w:tc>
        <w:tc>
          <w:tcPr>
            <w:tcW w:w="28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11,489,448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Noncash activities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SAFE notes to equity</w:t>
            </w:r>
          </w:p>
        </w:tc>
        <w:tc>
          <w:tcPr>
            <w:tcW w:w="2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40,726,793</w:t>
            </w: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short-term debt to equity</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8,597,749</w:t>
            </w:r>
          </w:p>
        </w:tc>
        <w:tc>
          <w:tcPr>
            <w:tcW w:w="0" w:type="dxa"/>
            <w:vAlign w:val="bottom"/>
          </w:tcPr>
          <w:p>
            <w:pPr>
              <w:spacing w:after="0"/>
              <w:rPr>
                <w:sz w:val="1"/>
                <w:szCs w:val="1"/>
                <w:color w:val="auto"/>
              </w:rPr>
            </w:pPr>
          </w:p>
        </w:tc>
      </w:tr>
      <w:tr>
        <w:trPr>
          <w:trHeight w:val="216"/>
        </w:trPr>
        <w:tc>
          <w:tcPr>
            <w:tcW w:w="9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costs paid in shares</w:t>
            </w:r>
          </w:p>
        </w:tc>
        <w:tc>
          <w:tcPr>
            <w:tcW w:w="2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156,870</w:t>
            </w: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Accrued taxes assumed from ShoulderUp</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(3,913,668)</w:t>
            </w:r>
          </w:p>
        </w:tc>
        <w:tc>
          <w:tcPr>
            <w:tcW w:w="0" w:type="dxa"/>
            <w:vAlign w:val="bottom"/>
          </w:tcPr>
          <w:p>
            <w:pPr>
              <w:spacing w:after="0"/>
              <w:rPr>
                <w:sz w:val="1"/>
                <w:szCs w:val="1"/>
                <w:color w:val="auto"/>
              </w:rPr>
            </w:pPr>
          </w:p>
        </w:tc>
      </w:tr>
      <w:tr>
        <w:trPr>
          <w:trHeight w:val="237"/>
        </w:trPr>
        <w:tc>
          <w:tcPr>
            <w:tcW w:w="9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Short-term debt assumed from ShoulderUp</w:t>
            </w:r>
          </w:p>
        </w:tc>
        <w:tc>
          <w:tcPr>
            <w:tcW w:w="2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0" w:type="dxa"/>
            <w:vAlign w:val="bottom"/>
          </w:tcPr>
          <w:p>
            <w:pPr>
              <w:spacing w:after="0"/>
              <w:rPr>
                <w:sz w:val="1"/>
                <w:szCs w:val="1"/>
                <w:color w:val="auto"/>
              </w:rPr>
            </w:pPr>
          </w:p>
        </w:tc>
      </w:tr>
      <w:tr>
        <w:trPr>
          <w:trHeight w:val="250"/>
        </w:trPr>
        <w:tc>
          <w:tcPr>
            <w:tcW w:w="9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equity impact of the Business Combination</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56,157,192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Par value of common stock issued</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9880" w:type="dxa"/>
            <w:vAlign w:val="bottom"/>
            <w:tcBorders>
              <w:bottom w:val="single" w:sz="8" w:color="CCEEFF"/>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Impact of Business Combination on additional paid-in capital</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56,155,649</w:t>
            </w:r>
          </w:p>
        </w:tc>
        <w:tc>
          <w:tcPr>
            <w:tcW w:w="0" w:type="dxa"/>
            <w:vAlign w:val="bottom"/>
          </w:tcPr>
          <w:p>
            <w:pPr>
              <w:spacing w:after="0"/>
              <w:rPr>
                <w:sz w:val="1"/>
                <w:szCs w:val="1"/>
                <w:color w:val="auto"/>
              </w:rPr>
            </w:pPr>
          </w:p>
        </w:tc>
      </w:tr>
      <w:tr>
        <w:trPr>
          <w:trHeight w:val="21"/>
        </w:trPr>
        <w:tc>
          <w:tcPr>
            <w:tcW w:w="9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Bridge Loan Agreements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the first two quarters of 2025, the Legacy Company entered into unsecured bridge loan agreements with two major lenders, totaling $2,850,000 in principal. These loans bear interest at an annual rate of 20%, calculated on a 365-day basis, and include a minimum interest provision requiring payment of at least 8% or 10% of the principal amount if repaid prior to their six-month maturity dates. As of the date of Closing, the Company recorded an accrued interest liability of $280,000, which was settled at Closing.</w:t>
      </w:r>
    </w:p>
    <w:p>
      <w:pPr>
        <w:spacing w:after="0" w:line="18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Prior to the Closing of the Business Combination, one of the lenders elected to convert a portion of its outstanding principal and accrued interest into 614,125 shares of Common Stock, based on a conversion price of $4.00 per share. The other lender opted to receive full repayment in cash.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The table below summarizes the transaction: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Payback in</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Interest at</w:t>
            </w:r>
          </w:p>
        </w:tc>
        <w:tc>
          <w:tcPr>
            <w:tcW w:w="100" w:type="dxa"/>
            <w:vAlign w:val="bottom"/>
          </w:tcPr>
          <w:p>
            <w:pPr>
              <w:spacing w:after="0"/>
              <w:rPr>
                <w:sz w:val="18"/>
                <w:szCs w:val="18"/>
                <w:color w:val="auto"/>
              </w:rPr>
            </w:pPr>
          </w:p>
        </w:tc>
        <w:tc>
          <w:tcPr>
            <w:tcW w:w="12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Payback in</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shares at</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Bridge Loans</w:t>
            </w:r>
          </w:p>
        </w:tc>
        <w:tc>
          <w:tcPr>
            <w:tcW w:w="12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closing</w:t>
            </w:r>
          </w:p>
        </w:tc>
        <w:tc>
          <w:tcPr>
            <w:tcW w:w="100" w:type="dxa"/>
            <w:vAlign w:val="bottom"/>
          </w:tcPr>
          <w:p>
            <w:pPr>
              <w:spacing w:after="0"/>
              <w:rPr>
                <w:sz w:val="21"/>
                <w:szCs w:val="21"/>
                <w:color w:val="auto"/>
              </w:rPr>
            </w:pPr>
          </w:p>
        </w:tc>
        <w:tc>
          <w:tcPr>
            <w:tcW w:w="122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Cash</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$4/share</w:t>
            </w:r>
          </w:p>
        </w:tc>
        <w:tc>
          <w:tcPr>
            <w:tcW w:w="200" w:type="dxa"/>
            <w:vAlign w:val="bottom"/>
          </w:tcPr>
          <w:p>
            <w:pPr>
              <w:spacing w:after="0"/>
              <w:rPr>
                <w:sz w:val="21"/>
                <w:szCs w:val="21"/>
                <w:color w:val="auto"/>
              </w:rPr>
            </w:pP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0" w:type="dxa"/>
            <w:vAlign w:val="bottom"/>
          </w:tcPr>
          <w:p>
            <w:pPr>
              <w:spacing w:after="0"/>
              <w:rPr>
                <w:sz w:val="1"/>
                <w:szCs w:val="1"/>
                <w:color w:val="auto"/>
              </w:rPr>
            </w:pPr>
          </w:p>
        </w:tc>
      </w:tr>
      <w:tr>
        <w:trPr>
          <w:trHeight w:val="216"/>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 loan 1*</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1/29/2025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1,456,500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Bridge loan 2*</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4/9/2025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 loan 3*</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5/7/2025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Bridge loan 4</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3/29/2025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(110,000)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 loan 5</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6/5/2025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(270,000)</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gridSpan w:val="2"/>
            <w:vMerge w:val="continue"/>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2,850,000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280,000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(673,500</w:t>
            </w:r>
          </w:p>
        </w:tc>
        <w:tc>
          <w:tcPr>
            <w:tcW w:w="22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2,456,500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614,125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10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Bridge loans from this investor had an aggregate principal amount of $2,500,000. At the Closing of the Business Combination, the investor received a cash payment of $293,500, consisting of $250,000 in minimum 10% interest and $43,500 in principal repayment. In addition, the investor received 614,125 shares of Common Stock in exchange for $2,456,500 of combined principal and accrued interest, based on a per share price of $4.00.</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connection with the bridge loan conversion, the Company derecognized a liability of $2,456,500 upon issuing 614,125 shares of Common Stock and recognized a total loss on debt extinguishment of $6,141,250, based on the fair value of the Common Stock at the Closing of $14.00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Investments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a private investment in public equity (“PIPE”) financing agreement with certain accredited investors. Pursuant to the PIPE subscription agreements, these investors committed to purchase an aggregate of 2,709,411 shares of Common Stock at a price of $4.00 per share, for total gross proceeds of $10,837,643. The PIPE investment provided additional capital to support the Company’s post-closing operations and was consummated concurrently with the Closing of the Business Combination. Following table illustrates the breakdown of all PIPE investments.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PIPE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Effective Date</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1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1</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6/16/2025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2,814,500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PIPE 2</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6/10/2025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3</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6/17/2025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7,023,143</w:t>
            </w: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1,755,786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PIPE</w:t>
            </w: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gridSpan w:val="2"/>
            <w:vMerge w:val="continue"/>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10,837,643</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2,709,411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the Company assumed an excise tax liability of $3,905,240 and a franchise tax liability of $8,428, both of which were incurred prior to the Closing and were recorded as assumed obligations from the reverse recapitalization transaction. Accordingly, the Company recorded a total accrued tax liability of $3,913,668 related to the Business Combination.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ind w:right="140"/>
        <w:spacing w:after="0" w:line="256" w:lineRule="auto"/>
        <w:rPr>
          <w:sz w:val="20"/>
          <w:szCs w:val="20"/>
          <w:color w:val="auto"/>
        </w:rPr>
      </w:pPr>
      <w:r>
        <w:rPr>
          <w:rFonts w:ascii="Times New Roman" w:cs="Times New Roman" w:eastAsia="Times New Roman" w:hAnsi="Times New Roman"/>
          <w:sz w:val="18"/>
          <w:szCs w:val="18"/>
          <w:color w:val="auto"/>
        </w:rPr>
        <w:t>The U.S. Treasury issued final regulations under Section 58.4501-2(e) clarifying the application of the 1% stock repurchase excise tax imposed by the Inflation Reduction Act. The regulations provide that redemptions of stock issued prior to August 16, 2022 are exempt from the excise tax if the shares were subject to mandatory redemption or stockholder put rights from issuance through redemption. The Company’s SPAC redemptions qualified for this exemption because the shares were issued before August 16, 2022 and were continuously subject to contractual redemption rights, including mandatory redemption and stockholder put options, which were redeemed in connection with extension votes. As a result, the previously recorded excise tax liability of $3,905,240 was reversed as of December 31, 2025, with a corresponding adjustment to additional paid-in capital.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Reclassifications and Revisions of Prior Period Financial Statements</w:t>
      </w:r>
    </w:p>
    <w:p>
      <w:pPr>
        <w:spacing w:after="0" w:line="22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Based on an analysis of FASB ASC, ASC 250-</w:t>
      </w:r>
      <w:r>
        <w:rPr>
          <w:rFonts w:ascii="Times New Roman" w:cs="Times New Roman" w:eastAsia="Times New Roman" w:hAnsi="Times New Roman"/>
          <w:sz w:val="18"/>
          <w:szCs w:val="18"/>
          <w:i w:val="1"/>
          <w:iCs w:val="1"/>
          <w:color w:val="auto"/>
        </w:rPr>
        <w:t>Accounting Changes and Error Corrections</w:t>
      </w:r>
      <w:r>
        <w:rPr>
          <w:rFonts w:ascii="Times New Roman" w:cs="Times New Roman" w:eastAsia="Times New Roman" w:hAnsi="Times New Roman"/>
          <w:sz w:val="18"/>
          <w:szCs w:val="18"/>
          <w:color w:val="auto"/>
        </w:rPr>
        <w:t xml:space="preserve">, Staff Accounting Bulletin 99, </w:t>
      </w:r>
      <w:r>
        <w:rPr>
          <w:rFonts w:ascii="Times New Roman" w:cs="Times New Roman" w:eastAsia="Times New Roman" w:hAnsi="Times New Roman"/>
          <w:sz w:val="18"/>
          <w:szCs w:val="18"/>
          <w:i w:val="1"/>
          <w:iCs w:val="1"/>
          <w:color w:val="auto"/>
        </w:rPr>
        <w:t>Materiality</w:t>
      </w:r>
      <w:r>
        <w:rPr>
          <w:rFonts w:ascii="Times New Roman" w:cs="Times New Roman" w:eastAsia="Times New Roman" w:hAnsi="Times New Roman"/>
          <w:sz w:val="18"/>
          <w:szCs w:val="18"/>
          <w:color w:val="auto"/>
        </w:rPr>
        <w:t xml:space="preserve">, and Staff Accounting Bulletin108, </w:t>
      </w:r>
      <w:r>
        <w:rPr>
          <w:rFonts w:ascii="Times New Roman" w:cs="Times New Roman" w:eastAsia="Times New Roman" w:hAnsi="Times New Roman"/>
          <w:sz w:val="18"/>
          <w:szCs w:val="18"/>
          <w:i w:val="1"/>
          <w:iCs w:val="1"/>
          <w:color w:val="auto"/>
        </w:rPr>
        <w:t>Considering the Effects of Prior Year Misstatements when Quantifying Misstatements in Current Year Financial Statements</w:t>
      </w:r>
      <w:r>
        <w:rPr>
          <w:rFonts w:ascii="Times New Roman" w:cs="Times New Roman" w:eastAsia="Times New Roman" w:hAnsi="Times New Roman"/>
          <w:sz w:val="18"/>
          <w:szCs w:val="18"/>
          <w:color w:val="auto"/>
        </w:rPr>
        <w:t>, the Company concluded that the identified revisions were not material to its previously issued financial statements. Accordingly, the prior period financial statements have been revised to reflect these reclassifications and corrections.</w:t>
      </w:r>
    </w:p>
    <w:p>
      <w:pPr>
        <w:spacing w:after="0" w:line="18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2025, the Company revised its expense presentation by reallocating certain amounts previously reported under cost of goods sold to general and administrative, research and development, and sales and marketing expenses to better reflect the nature of the underlying costs. In addition, certain expenses were reclassified among these operating expense categories. These reclassifications had no effect on total revenue, loss from operations, net loss, or shareholders’ equity (deficit) for any period presented. The impact of these reclassifications was previously disclosed in the Company’s Quarterly Report on Form 10-Q for the quarter ended June 30, 2025 filed with the SEC on August 20, 2025. See such filing for additional details.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Concentrations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Arising From Cash Deposits in Excess of Insured Limits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maintains a cash balance with a U.S. financial institution, in which the balance exceeds the FDIC insured limit of $250,000. As of March 31, 2026 and December 31, 2025, the Company’s cash balance held at the financial institution exceeded the FDIC limit. The Company has not experienced losses on this account and management believes the Company is not exposed to significant risks on such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Customers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the Company generated 100% of its total revenue from two customers, with one customer accounting for approximately 62% of total revenue and the other customer accounting for approximately 38%. For the three months ended March 31, 2025, the Company also generated 100% of its total revenue from two customers, with one customer accounting for approximately 99% and the other customer accounting for approximately 1%.</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ind w:right="40"/>
        <w:spacing w:after="0" w:line="256" w:lineRule="auto"/>
        <w:rPr>
          <w:sz w:val="20"/>
          <w:szCs w:val="20"/>
          <w:color w:val="auto"/>
        </w:rPr>
      </w:pPr>
      <w:r>
        <w:rPr>
          <w:rFonts w:ascii="Times New Roman" w:cs="Times New Roman" w:eastAsia="Times New Roman" w:hAnsi="Times New Roman"/>
          <w:sz w:val="18"/>
          <w:szCs w:val="18"/>
          <w:color w:val="auto"/>
        </w:rPr>
        <w:t>As of March 31, 2026, the Company’s accounts receivable balance consisted of two customers. One customer accounted for approximately 77% of total accounts receivable and the other customer accounted for approximately 23%. As of December 31, 2025, the Company’s accounts receivable balance was concentrated among three customers. One customer accounted for approximately 97% of total accounts receivable. The Company monitors the creditworthiness of its customers on an ongoing basis and believes that its credit risk is limited due to the financial strength and payment history of these customers. Management does not expect any material losses from these receivable concentrations and has not recorded an allowance for credit losses, as all receivables are considered highly collectible.</w:t>
      </w:r>
    </w:p>
    <w:p>
      <w:pPr>
        <w:spacing w:after="0" w:line="18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there was no accounts receivable allowance for credit losses. There were no credit losses for the three months ended March 31, 2026 and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Property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as of March 31, 2026 and December 31, 2025,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632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 useful life</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to 10 years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665,303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665,303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2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Lesser of lease term or</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estimated useful life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16,400</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16,400</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(57,472)</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(36,463)</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20" w:type="dxa"/>
            <w:vAlign w:val="bottom"/>
            <w:vMerge w:val="continue"/>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624,231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645,240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63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21,009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Capitalized Software Development Costs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The Company capitalizes eligible costs incurred in the development of internal-use software during the application development stage, in accordance with ASC 350-40, </w:t>
      </w:r>
      <w:r>
        <w:rPr>
          <w:rFonts w:ascii="Times New Roman" w:cs="Times New Roman" w:eastAsia="Times New Roman" w:hAnsi="Times New Roman"/>
          <w:sz w:val="18"/>
          <w:szCs w:val="18"/>
          <w:i w:val="1"/>
          <w:iCs w:val="1"/>
          <w:color w:val="auto"/>
        </w:rPr>
        <w:t>Internal-Use Software</w:t>
      </w:r>
      <w:r>
        <w:rPr>
          <w:rFonts w:ascii="Times New Roman" w:cs="Times New Roman" w:eastAsia="Times New Roman" w:hAnsi="Times New Roman"/>
          <w:sz w:val="18"/>
          <w:szCs w:val="18"/>
          <w:color w:val="auto"/>
        </w:rPr>
        <w:t>. Capitalized software development costs include direct labor, third-party services, and other direct costs associated with the development of new software or significant upgrades and enhancements to existing software. Costs incurred during the preliminary project stage and post-implementation/operational stage are expensed as incurred. Capitalized software development costs are amortized on a straight-line basis over the estimated useful life of the software, which management has determined to be five years. The Company evaluates capitalized software development costs for impairment whenever events or changes in circumstances indicate that the carrying amount may not be recoverable.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 Company has capitalized software development costs, net, of $2,774,682 and $2,920,718 as of March 31, 2026 and December 31, 2025, respectively.</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software was ready for its intended use as of January 1, 2026, and amortization commenced on that date. For the three months ended March 31, 2026 and 2025, the Company recorded amortization expense of $146,036 and $0,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Loans and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 notes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Prior to the June 18, 2025 Business Combination, SEE ID had issued SAFE agreements totaling $8.5 million in proceeds. The SAFE agreements provided for conversion or settlement upon specified triggering events, including equity financings, liquidity events, or dissolution events. The Company classified the SAFE agreements as derivative liabilities and measured them at fair value using a probability-weighted expected return method.</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Upon closing of the Business Combination, which qualified as an equity financing under the SAFE agreements, all outstanding SAFE notes automatically converted into 2,909,057 shares of Common Stock. As a result, the Company recognized a $17.4 million fair value adjustment based on the $14.00 per share closing price.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loans</w:t>
      </w:r>
    </w:p>
    <w:p>
      <w:pPr>
        <w:spacing w:after="0" w:line="22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On December 5, 2025, the Company entered into a loan agreement with J.J. Astor &amp; Co. for up to $5,000,000 of senior secured convertible loans, consisting of an initial $2,000,000 tranche and up to three additional $1,000,000 tranches subject to certain conditions, including ELOC availability, Nasdaq listing status, and trading requirements. The initial tranche was issued as a $2,000,000 convertible note, of which $1,810,000 was funded, net of fees, and matures on November 30, 2026. The note is repayable in monthly installments totaling $2,600,000, with repayment partially funded through proceeds from the Company’s equity line of credit (“ELOC”).</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initial funding, the Company issued a warrant to purchase 230,770 shares at $1.69 per share. Additional tranches, if funded, would include similar convertible notes and warrants. The agreement also requires the use of ELOC proceeds for repayment, with 80% of such proceeds remitted directly to the lender, and certain extraordinary receipts applied to outstanding balances. See “Derivative Liabilities” below for further discussion of the accounting for the warrant and embedded features.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the Company paid $774,815 to J.J. Astor, of which $460,862 was applied to principal. The Company also capitalized $190,000 of loan origination fees, which are being amortized over a 12-month term. Monthly amortization of $15,833 is recorded as a reduction of the deferred financing costs. As a result, the outstanding debt principal balance was $1,127,289 as of March 31, 2026, compared to $1,540,651 as of December 31, 2025.</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Liabilities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Derivative instruments that are not traded on an exchange are valued using conventional valuation models that incorporate both observable and unobservable inputs. Although the Company is publicly traded, the valuation of these derivative instruments requires significant unobservable inputs, including assumptions related to expected volatility, term, probability-weighted scenarios, and other model-based estimates. Accordingly, these derivative instruments are classified within Level 3 of the fair value hierarchy.</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Upon completion of the Business Combination, all outstanding SAFE notes were converted into shares of the Company’s Common Stock, resulting in a significant reduction of the related derivative liabilities for the six months ended June 30, 2025. In addition, during 2025, the Company entered into a loan agreement with J.J. Astor that includes detachable warrants and embedded derivative features, including a conversion feature and call option. These features do not qualify for equity classification under ASC 815 and are therefore bifurcated and accounted for as derivative liabilities at fair value, with changes in fair value recognized in the condensed consolidated statement of operations.</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issuance, the fair value of the warrant liability was $210,776 and the fair value of the combined embedded conversion and call option derivative liability was $26,100. These amounts were bifurcated from the loan proceeds. The derivative liabilities are remeasured at each reporting date. As of March 31, 2026 and December 31, 2025, the Company’s derivative liabilities consisted of (i) a warrant liability of $52,535 and (ii) an embedded conversion and call option derivative liability of $26,100.</w:t>
      </w:r>
    </w:p>
    <w:p>
      <w:pPr>
        <w:spacing w:after="0" w:line="18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reflected in the table below, derivative liabilities are presented at fair value at the beginning and end of each reporting period. As of March 31, 2026, the Company’s derivative liabilities consist of (i) a warrant liability of $52,535 and (ii) an embedded conversion and call option derivative liability of $26,100. The fair value of the embedded conversion and call option derivative liability is estimated using the Probability-Weighted Expected Return Method (“PWERM”) model, which incorporates significant unobservable inputs, including expected monthly installment payments, the repayment percentage, the applicable discount factor, and scenario probability assumptions. The warrant liability is measured using the Black-Scholes option pricing model, with key inputs including Company asset volatility, Company equity volatility, Company size-adjusted asset volatility, Company size-adjusted equity volatility, the risk-free interest rate, and the liquidity horizon. Changes in the fair value of these derivative instruments during the period are recognized in the condensed consolidated statement of operations in the period in which they occur. The change in the fair value of both the warrant liability and the embedded conversion and call option derivative liability from December 31, 2025 to March 31, 2026 was de minimis; accordingly, no gain or loss was recorded during the three months ended March 31, 2026.</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56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245"/>
        </w:trPr>
        <w:tc>
          <w:tcPr>
            <w:tcW w:w="406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60" w:type="dxa"/>
            <w:vAlign w:val="bottom"/>
            <w:tcBorders>
              <w:bottom w:val="single" w:sz="8" w:color="CCEEFF"/>
            </w:tcBorders>
          </w:tcPr>
          <w:p>
            <w:pPr>
              <w:spacing w:after="0"/>
              <w:rPr>
                <w:sz w:val="20"/>
                <w:szCs w:val="20"/>
                <w:color w:val="auto"/>
              </w:rPr>
            </w:pPr>
          </w:p>
        </w:tc>
        <w:tc>
          <w:tcPr>
            <w:tcW w:w="46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 beginning of period</w:t>
            </w:r>
          </w:p>
        </w:tc>
        <w:tc>
          <w:tcPr>
            <w:tcW w:w="46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78,635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23,334,626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Addition</w:t>
            </w:r>
          </w:p>
        </w:tc>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23,752</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SAFE notes</w:t>
            </w:r>
          </w:p>
        </w:tc>
        <w:tc>
          <w:tcPr>
            <w:tcW w:w="4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(611,703)</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Fair Value - end of period</w:t>
            </w:r>
          </w:p>
        </w:tc>
        <w:tc>
          <w:tcPr>
            <w:tcW w:w="4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60" w:type="dxa"/>
            <w:vAlign w:val="bottom"/>
            <w:vMerge w:val="continue"/>
          </w:tcPr>
          <w:p>
            <w:pPr>
              <w:spacing w:after="0"/>
              <w:rPr>
                <w:sz w:val="20"/>
                <w:szCs w:val="20"/>
                <w:color w:val="auto"/>
              </w:rPr>
            </w:pPr>
          </w:p>
        </w:tc>
        <w:tc>
          <w:tcPr>
            <w:tcW w:w="486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78,635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22,746,675</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462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06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9 - Equity Line of Credit (“ELOC”)</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part of its funding efforts, on June 18, 2025, the Company entered into a Standby Equity Purchase Agreement (“SEPA”) with New Circle Principal Investment LLC (“New Circle”), pursuant to which the Company has the right, but not the obligation, to sell up to $50 million of its Common Shares through June 18, 2028, at a price based on a discounted VWAP formula. Under the SEPA, the Company may sell shares at pricing based on either (i) 97% of the lowest daily VWAP over the three trading days following a purchase notice or (ii) the greater of 85% of VWAP or the lowest sale price on a specified trading day, depending on the timing of the notice.</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satisfied the $350,000 commitment fee through the issuance of 106,383 shares of Common Stock in September 2025. The commitment fee was expensed in September 2025. Prior to the issuance of a purchase notice, the SEPA is accounted for as a purchased put option on the Company’s equity. Upon delivery of a purchase notice, it represents a forward contract to issue Common Stock. As the arrangement is an embedded derivative that does not qualify for the equity scope exception under ASC 815, it is bifurcated and measured at fair value, with changes recognized in the statement of operations. The fair value of the derivative was de minimis as of March 31, 2026 and was not recorded on the balance sheet.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13, December 30, December 31, 2025, and February 10, 2026, the Company delivered purchase notices for 30,000, 500,000, 1,000,000,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20,000 shares, respectively, at settlement prices of $2.62, $0.32, $0.32, and $0.26 per share, respectively. This resulted in gross proceeds of $78,516,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$159,500, $317,000, and $5,164, respectively. The Company issued 30,000 shares in October 2025, 1,000,000 shares in December 2025, 500,000 shares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2026, and 20,000 shares in February 2026. Because the shares were issued to New Circle at prices determined using a discounted VWAP formula,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cash proceeds received were below the fair value of the shares on the respective issuance dates. The Company measured the shares at fair value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cash was received and recognized the difference between (i) the fair value of the shares issued and (ii) the proceeds calculated pursuant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discounted VWAP pricing terms. For the three months ended March 31, 2026, the Company recorded a loss of $1,256 on the issuance of shares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Recapitalization</w:t>
      </w:r>
    </w:p>
    <w:p>
      <w:pPr>
        <w:spacing w:after="0" w:line="227"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color w:val="auto"/>
        </w:rPr>
        <w:t xml:space="preserve">As described in Note 3, </w:t>
      </w:r>
      <w:r>
        <w:rPr>
          <w:rFonts w:ascii="Times New Roman" w:cs="Times New Roman" w:eastAsia="Times New Roman" w:hAnsi="Times New Roman"/>
          <w:sz w:val="18"/>
          <w:szCs w:val="18"/>
          <w:i w:val="1"/>
          <w:iCs w:val="1"/>
          <w:color w:val="auto"/>
        </w:rPr>
        <w:t>Business Combination and Reverse Recapitalization</w:t>
      </w:r>
      <w:r>
        <w:rPr>
          <w:rFonts w:ascii="Times New Roman" w:cs="Times New Roman" w:eastAsia="Times New Roman" w:hAnsi="Times New Roman"/>
          <w:sz w:val="18"/>
          <w:szCs w:val="18"/>
          <w:color w:val="auto"/>
        </w:rPr>
        <w:t>, all historical equity data, including stock option data, in these condensed consolidated financial statements has been retrospectively adjusted by the Exchange Ratio to reflect the reverse recapitalization that occurred on June 18,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authorized 300,000,000 shares of Common Stock, par value $0.0001 per share. As of March 31, 2026, 29,633,274 shares of Common Stock were issued and outstanding, and 270,366,726 shares of Common Stock were reserved for future issuance.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the Company issued 339,953 shares of common stock to a service provider pursuant to a written consent of the Board of Directors. The issuance was measured based on the closing price of the Company’s common stock on February 2, 2026 of $0.37 per share. Although the administrative steps to formally issue the shares were completed in April 2026, the related Board approval occurred during the three months ended March 31, 2026, and the associated expense was recognized in that period. For the three months ended March 31, 2026, the Company recognized $125,000 of service expense related to this issuance.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Equity Incentive Plan</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January 2021, the Legacy Company adopted the 2021 Equity Incentive Plan (the “2021 Incentive Plan”), which provided for grants of awards in the form of incentive stock options, non-qualified stock options, and restricted stock awards to selected employees, directors, and independent contractors of the Company and its affiliates, as defined in the Incentive Plan. The Company assumed the 2021 Plan and all outstanding awards thereunder in connection with the Business Combination. Initially, the aggregate number of shares of Common Stock that may be issued by the Legacy Company under the 2021 Incentive Plan was not to exceed 4,672,506. Following the Business Combination, no additional awards may be granted under the 2021 Incentive Plan, and no additional shares remain available for issuance under the 2021 Incentive Plan other than the 2,032,521 shares that were subject to the outstanding awards that were assumed by the Company in connection with the Business Combination. The purpose of the 2021 Incentive Plan was to encourage and enable selected participants to acquire or to increase their holdings of the Company’s Common Stock and other equity-based interests in the Company in order to promote a closer identification of their interests with those of the Company and its stockholders. The 2021 Incentive Plan is administered by the Company’s Board of Directors. As of March 31, 2026, the Company has granted awards under the 2021 Equity Incentive Plan as described in the stock options and restricted stock awards subsections below under this note.</w:t>
      </w:r>
    </w:p>
    <w:p>
      <w:pPr>
        <w:spacing w:after="0" w:line="1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Effective as of June 18, 2025, in connection with the closing of the transactions contemplated by the Business Combination Agreement, the Company adopted the 2024 Equity Incentive Plan (the “2024 Incentive Plan”). The purpose of the 2024 Incentive Plan is to advance the interests of the Company and its stockholders by attracting, retaining and rewarding employees, consultants and directors and by motivating such persons to contribute to the growth and profitability of the Company. The 2024 Incentive Plan provides for the grant of awards in the form of stock options, stock appreciation rights, restricted stock awards, restricted stock units, performance shares, performance units, cash-based awards and other stock-based awards. Subject to adjustment, the maximum aggregate number of shares of the Company’s common stock that may be issued under the 2024 Incentive Plan is 2,927,332 shares, plus an annual increase beginning with the first fiscal year following stockholder approval and continuing for up to ten years, equal to the lesser of 10% of the outstanding shares as of the end of the immediately preceding fiscal year or such lesser amount as determined by the Board. The 2024 Incentive Plan is administered by the Board of Directors or a duly authorized committee thereof, which has the authority to determine the participants to whom awards will be granted, the type and number of awards, and the terms and conditions of each award, including vesting, subject to the provisions of the plan. The 2024 Incentive Plan will remain in effect until terminated by the Compensation Committee, provided that no awards may be granted later than ten years from the earlier of the date of Board or stockholder approval. As of March 31, 2026, there has been no equity awards granted pursuant to the 2024 Incentive Plan.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pursuant to the 2021 Incentive Plan for the three months ended March 31, 2026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Life</w:t>
            </w:r>
          </w:p>
        </w:tc>
        <w:tc>
          <w:tcPr>
            <w:tcW w:w="0" w:type="dxa"/>
            <w:vAlign w:val="bottom"/>
          </w:tcPr>
          <w:p>
            <w:pPr>
              <w:spacing w:after="0"/>
              <w:rPr>
                <w:sz w:val="1"/>
                <w:szCs w:val="1"/>
                <w:color w:val="auto"/>
              </w:rPr>
            </w:pPr>
          </w:p>
        </w:tc>
      </w:tr>
      <w:tr>
        <w:trPr>
          <w:trHeight w:val="245"/>
        </w:trPr>
        <w:tc>
          <w:tcPr>
            <w:tcW w:w="44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0" w:type="dxa"/>
            <w:vAlign w:val="bottom"/>
          </w:tcPr>
          <w:p>
            <w:pPr>
              <w:spacing w:after="0"/>
              <w:rPr>
                <w:sz w:val="1"/>
                <w:szCs w:val="1"/>
                <w:color w:val="auto"/>
              </w:rPr>
            </w:pPr>
          </w:p>
        </w:tc>
      </w:tr>
      <w:tr>
        <w:trPr>
          <w:trHeight w:val="216"/>
        </w:trPr>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as of December 31, 2025</w:t>
            </w:r>
          </w:p>
        </w:tc>
        <w:tc>
          <w:tcPr>
            <w:tcW w:w="29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1,861,806</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0.1095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2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cancelled</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8.6108</w:t>
            </w:r>
          </w:p>
        </w:tc>
        <w:tc>
          <w:tcPr>
            <w:tcW w:w="100" w:type="dxa"/>
            <w:vAlign w:val="bottom"/>
          </w:tcPr>
          <w:p>
            <w:pPr>
              <w:spacing w:after="0"/>
              <w:rPr>
                <w:sz w:val="20"/>
                <w:szCs w:val="20"/>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6"/>
        </w:trPr>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as of March 31, 2026</w:t>
            </w:r>
          </w:p>
        </w:tc>
        <w:tc>
          <w:tcPr>
            <w:tcW w:w="29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1,861,633</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0.1088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Total vested as of March 31, 2026</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1,833,180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0.1077</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900" w:type="dxa"/>
            <w:vAlign w:val="bottom"/>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4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21" w:name="page22"/>
    <w:bookmarkEnd w:id="21"/>
    <w:p>
      <w:pPr>
        <w:ind w:right="54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recognized share-based compensation expense relating to stock options totaling $1,753 and $10,005, respectively. Share-based compensation expense relating to stock options is included in “General and administrative” in the accompanying condensed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did not grant any restricted stock awards. As of March 31, 2026 and December 31, 2025, there were no unvested restricted stock awards.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Net Loss Per Share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Earnings per share accounting requires the presentation of both basic and diluted earnings per share on the face of the statements of operations. The Company’s basic net loss per share is computed by dividing net loss by the weighted-average number of shares of Common Stock outstanding for the period. If there are dilutive securities, diluted income per share is computed by including Common Stock equivalents which includes shares issuable upon the exercise of stock options into common shares, using the treasury stock method. In periods for which the Company reports a net loss, the Common Stock equivalents are not included, as they would be anti-dilutive.</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and 2025, shares of Common Stock underlying stock options totaling 1,861,633 and 2,032,521, respectively, and no unvested restricted stock awards, were excluded from the calculation of diluted net loss per share because they were antidilutive. In addition, 15,654,983 warrants outstanding as of March 31, 2026 were out of the money and also excluded from the calculation of diluted net loss per share for being antidilutive. Convertible debt outstanding during the period was also excluded from the calculation of diluted net loss per share, as the effect of applying the if-converted method would have been antidilutive.</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Restricted stock awards can be issued to directors, executives or employees of the Company and are subject to time-based vesting. These unvested shares are excluded from the computation of basic loss per share as these shares are not considered outstanding until vested.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Leases</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June 2024, the Company entered into a non-cancelable operating lease agreement for a facility in Bethesda, Maryland. This lease commenced on July 1, 2024, has a term of 63 months, and has an initial base rent of approximately $7,000 that increases annually by three percent. Under the terms of this lease, the Company is also responsible for their proportionate share of expenses associated with the facility and its premises.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January 2025, the Company entered into a non-cancelable operating lease agreement with an unrelated third-party for a 16,000 square foot facility in Puerto Rico. This lease commenced on February 1, 2025 on a month-to-month basis and became a long-term lease with an initial term of 5 years on June 1, 2025. The initial base rent is $7.00 per square foot, or $9,333 per month, for the first two years, increasing to $7.50 per square foot for the third year and increases by 3% annually thereafter. Under the terms of this lease, the Company is also responsible for their own utilities and a proportionate share of the operating expenses of the premises, not to exceed $3.25 per square foot.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lease expense were as follows for the three months ended March 31, 2026 and 2025:</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256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2"/>
              </w:rPr>
              <w:t>51,298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short-term lease cost</w:t>
            </w:r>
          </w:p>
        </w:tc>
        <w:tc>
          <w:tcPr>
            <w:tcW w:w="240" w:type="dxa"/>
            <w:vAlign w:val="bottom"/>
          </w:tcPr>
          <w:p>
            <w:pPr>
              <w:spacing w:after="0"/>
              <w:rPr>
                <w:sz w:val="19"/>
                <w:szCs w:val="19"/>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23,618</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33,001</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74,916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54,554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summarizes the operating lease asset and liabilities recorded as of March 31, 2026 and December 31, 2025: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8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666,733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701,878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1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143,979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139,963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540,004</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577,656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03"/>
        </w:trPr>
        <w:tc>
          <w:tcPr>
            <w:tcW w:w="86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lease liabilities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683,983</w:t>
            </w: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717,619</w:t>
            </w: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8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operating lease term</w:t>
            </w:r>
          </w:p>
        </w:tc>
        <w:tc>
          <w:tcPr>
            <w:tcW w:w="120" w:type="dxa"/>
            <w:vAlign w:val="bottom"/>
          </w:tcPr>
          <w:p>
            <w:pPr>
              <w:spacing w:after="0"/>
              <w:rPr>
                <w:sz w:val="18"/>
                <w:szCs w:val="18"/>
                <w:color w:val="auto"/>
              </w:rPr>
            </w:pPr>
          </w:p>
        </w:tc>
        <w:tc>
          <w:tcPr>
            <w:tcW w:w="1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3.91 years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4.16 years</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operating lease discount rate</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9.53%</w:t>
            </w:r>
          </w:p>
        </w:tc>
      </w:tr>
      <w:tr>
        <w:trPr>
          <w:trHeight w:val="432"/>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future minimum lease commitments as of March 31, 2026:</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45"/>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Leases</w:t>
            </w:r>
          </w:p>
        </w:tc>
      </w:tr>
      <w:tr>
        <w:trPr>
          <w:trHeight w:val="216"/>
        </w:trPr>
        <w:tc>
          <w:tcPr>
            <w:tcW w:w="8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(for the remaining 9 months)</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150,673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207,783</w:t>
            </w:r>
          </w:p>
        </w:tc>
        <w:tc>
          <w:tcPr>
            <w:tcW w:w="8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215,950</w:t>
            </w:r>
          </w:p>
        </w:tc>
        <w:tc>
          <w:tcPr>
            <w:tcW w:w="8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197,905</w:t>
            </w:r>
          </w:p>
        </w:tc>
        <w:tc>
          <w:tcPr>
            <w:tcW w:w="80" w:type="dxa"/>
            <w:vAlign w:val="bottom"/>
          </w:tcPr>
          <w:p>
            <w:pPr>
              <w:spacing w:after="0"/>
              <w:rPr>
                <w:sz w:val="18"/>
                <w:szCs w:val="18"/>
                <w:color w:val="auto"/>
              </w:rPr>
            </w:pPr>
          </w:p>
        </w:tc>
      </w:tr>
      <w:tr>
        <w:trPr>
          <w:trHeight w:val="25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42,436</w:t>
            </w:r>
          </w:p>
        </w:tc>
      </w:tr>
      <w:tr>
        <w:trPr>
          <w:trHeight w:val="203"/>
        </w:trPr>
        <w:tc>
          <w:tcPr>
            <w:tcW w:w="86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814,747</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(130,764)</w:t>
            </w:r>
          </w:p>
        </w:tc>
      </w:tr>
      <w:tr>
        <w:trPr>
          <w:trHeight w:val="237"/>
        </w:trPr>
        <w:tc>
          <w:tcPr>
            <w:tcW w:w="86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20" w:type="dxa"/>
            <w:vAlign w:val="bottom"/>
            <w:tcBorders>
              <w:top w:val="single" w:sz="8" w:color="CCEEFF"/>
            </w:tcBorders>
          </w:tcPr>
          <w:p>
            <w:pPr>
              <w:spacing w:after="0"/>
              <w:rPr>
                <w:sz w:val="20"/>
                <w:szCs w:val="20"/>
                <w:color w:val="auto"/>
              </w:rPr>
            </w:pPr>
          </w:p>
        </w:tc>
        <w:tc>
          <w:tcPr>
            <w:tcW w:w="98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683,983</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1"/>
        </w:trPr>
        <w:tc>
          <w:tcPr>
            <w:tcW w:w="8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Related Party Transactions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Related parties include entities under common ownership or control with the Company, as well as entities owned, in whole or in part, by the Company’s management, company officers, members of the board of directors, or significant stockholders.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had entered into SAFE agreements with Charles Maddox, the Chief Financial Officer and a stockholder, for proceeds totaling $28,833. On June 18, 2025, in connection with the Business Combination, these SAFE agreements converted into 2,156 Common Stock of the Company.</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Pope Technologies LLC is owned by a former member of the Company’s Board of Directors who resigned in March 2026 and, accordingly, was considered a related party during the three months ended March 31, 2026. In August 2024, the Company entered into a $1,500,000 purchase order with Pope Technologies LLC for certain products, hardware, installation, programming, subscription, and training services. As of December 31, 2024, $750,000 had been received and recorded as deferred revenue in the accompanying condensed consolidated balance sheets. During the year ended December 31, 2025, the Company delivered the products and recognized $750,000 of revenue from the deferred revenue balance. For the three months ended March 31, 2026 and 2025, no revenue was recognized from Pope Technologies LLC. As of March 31, 2026 and December 31, 2025, the Company had an accounts receivable balance of $78,412 from Pope Technologies LLC.</w:t>
      </w:r>
    </w:p>
    <w:p>
      <w:pPr>
        <w:spacing w:after="0" w:line="18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Effective January 1, 2022, the Company entered into a customer agreement with PRB Transportation, LLC, a related party owned in part by Charles Maddox, the Company’s Chief Financial Officer and a stockholder, and Jeff Andersen, a stockholder. The Company recognized revenue of $4,656 and $4,338 for the three months ended March 31, 2026 and 2025, respectively. As of March 31, 2026 and December 31, 2025, the Company had accounts receivable balances of $0 and $2,928, respectively, from PRB Transportation, LLC.</w:t>
      </w:r>
    </w:p>
    <w:p>
      <w:pPr>
        <w:spacing w:after="0" w:line="18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Beginning on March 1, 2024, the Company began subleasing an office space in Campo Alegre Manati, Puerto Rico from Enzymatic Holdings Corp. The term of this sublease was for one year and the rent was $1,167 per month, plus a one-third share of the cost of utilities. Enzymatic Holdings Corp., LLC is owned, in part, by certain stockholders of the Company. This lease terminated on February 28, 2025, and was not renewed.</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Beginning on August 1, 2024, the Company began subleasing an office/warehouse space in Las Vegas, Nevada from Pope Technologies LLC. The term of this sublease is for one year and the rent is $1,280 per month. Pope Technologies LLC is owned by a former director of the Company. In September 2025, the Company paid a one-time fee of $13,610 to terminate the lease. The lease was terminated as of September 30, 2025. Beginning October 1, 2025, the Company entered into a month-to-month lease for the same location at a monthly rent of $5,813.</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March 31, 2026, Edmund Nabrotzky, Chief Executive Officer of the Company, Charles Maddox, Chief Financial Officer and Chief Operating Officer of the Company, and Vijayan Nambiar, Chief Technology Officer of the Company loaned the Company an aggregate of $349,996 and may make additional loans to the Company up to an aggregate amount of $600,000 (collectively, the “Executive Loans”). The Executive Loans have been made, on the terms and conditions of an unsecured, subordinated promissory note (the “Executive Notes”). The Executive Notes accrue interest at a rate of 7.5% per annum, and will be paid in quarterly installments on July 1, 2026, October 1, 2026 with a final payment by December 31, 2026. All of the Company’s obligations and payments under the Executive Notes are subordinated to the Company’s obligations under agreements with 3rd party lenders. As of March 31, 2026, the Company had short-term debt from related parties of $349,996 and accrued interest payable of $3,800 related to the Executive Loans, which was included in accrued expenses in the condensed consolidated balance sheets.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15 – Accrued Expenses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as of March 31, 2026 and December 31, 2025 consisted of the following:</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accrued for Cohen Capital Market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1,003,500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1,003,500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Board of directors’ fees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983,528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41,578</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42,689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2,028,606</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1,826,189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Note 16 - 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as of March 31, 2026 and December 31, 2025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Raw materials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Finished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Shipping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in transit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65"/>
        <w:spacing w:after="0"/>
        <w:tabs>
          <w:tab w:leader="none" w:pos="1365" w:val="left"/>
        </w:tabs>
        <w:rPr>
          <w:sz w:val="20"/>
          <w:szCs w:val="20"/>
          <w:color w:val="auto"/>
        </w:rPr>
      </w:pPr>
      <w:r>
        <w:rPr>
          <w:rFonts w:ascii="Times New Roman" w:cs="Times New Roman" w:eastAsia="Times New Roman" w:hAnsi="Times New Roman"/>
          <w:sz w:val="18"/>
          <w:szCs w:val="18"/>
          <w:b w:val="1"/>
          <w:bCs w:val="1"/>
          <w:color w:val="auto"/>
        </w:rPr>
        <w:t>March 31,</w:t>
      </w:r>
      <w:r>
        <w:rPr>
          <w:sz w:val="20"/>
          <w:szCs w:val="20"/>
          <w:color w:val="auto"/>
        </w:rPr>
        <w:tab/>
      </w:r>
      <w:r>
        <w:rPr>
          <w:rFonts w:ascii="Times New Roman" w:cs="Times New Roman" w:eastAsia="Times New Roman" w:hAnsi="Times New Roman"/>
          <w:sz w:val="17"/>
          <w:szCs w:val="17"/>
          <w:b w:val="1"/>
          <w:bCs w:val="1"/>
          <w:color w:val="auto"/>
        </w:rPr>
        <w:t>December 31,</w:t>
      </w:r>
    </w:p>
    <w:p>
      <w:pPr>
        <w:spacing w:after="0" w:line="31" w:lineRule="exact"/>
        <w:rPr>
          <w:sz w:val="20"/>
          <w:szCs w:val="20"/>
          <w:color w:val="auto"/>
        </w:rPr>
      </w:pPr>
    </w:p>
    <w:p>
      <w:pPr>
        <w:ind w:left="385"/>
        <w:spacing w:after="0"/>
        <w:tabs>
          <w:tab w:leader="none" w:pos="1705" w:val="left"/>
        </w:tabs>
        <w:rPr>
          <w:sz w:val="20"/>
          <w:szCs w:val="20"/>
          <w:color w:val="auto"/>
        </w:rPr>
      </w:pPr>
      <w:r>
        <w:rPr>
          <w:rFonts w:ascii="Times New Roman" w:cs="Times New Roman" w:eastAsia="Times New Roman" w:hAnsi="Times New Roman"/>
          <w:sz w:val="18"/>
          <w:szCs w:val="18"/>
          <w:b w:val="1"/>
          <w:bCs w:val="1"/>
          <w:color w:val="auto"/>
        </w:rPr>
        <w:t>2026</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18" w:lineRule="exact"/>
        <w:rPr>
          <w:sz w:val="20"/>
          <w:szCs w:val="20"/>
          <w:color w:val="auto"/>
        </w:rPr>
      </w:pPr>
    </w:p>
    <w:p>
      <w:pPr>
        <w:ind w:left="405" w:hanging="405"/>
        <w:spacing w:after="0"/>
        <w:tabs>
          <w:tab w:leader="none" w:pos="40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1,664,869   $   1,064,464</w:t>
      </w:r>
    </w:p>
    <w:p>
      <w:pPr>
        <w:spacing w:after="0" w:line="27" w:lineRule="exact"/>
        <w:rPr>
          <w:rFonts w:ascii="Times New Roman" w:cs="Times New Roman" w:eastAsia="Times New Roman" w:hAnsi="Times New Roman"/>
          <w:sz w:val="18"/>
          <w:szCs w:val="18"/>
          <w:color w:val="auto"/>
        </w:rPr>
      </w:pPr>
    </w:p>
    <w:p>
      <w:pPr>
        <w:ind w:left="54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182,064</w:t>
      </w:r>
      <w:r>
        <w:rPr>
          <w:rFonts w:ascii="Times New Roman" w:cs="Times New Roman" w:eastAsia="Times New Roman" w:hAnsi="Times New Roman"/>
          <w:sz w:val="17"/>
          <w:szCs w:val="17"/>
          <w:color w:val="auto"/>
        </w:rPr>
        <w:t>116,106</w:t>
      </w:r>
    </w:p>
    <w:p>
      <w:pPr>
        <w:spacing w:after="0" w:line="9" w:lineRule="exact"/>
        <w:rPr>
          <w:rFonts w:ascii="Times New Roman" w:cs="Times New Roman" w:eastAsia="Times New Roman" w:hAnsi="Times New Roman"/>
          <w:sz w:val="18"/>
          <w:szCs w:val="18"/>
          <w:color w:val="auto"/>
        </w:rPr>
      </w:pPr>
    </w:p>
    <w:p>
      <w:pPr>
        <w:ind w:left="64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78,47564,066</w:t>
      </w:r>
    </w:p>
    <w:p>
      <w:pPr>
        <w:spacing w:after="0" w:line="9" w:lineRule="exact"/>
        <w:rPr>
          <w:rFonts w:ascii="Times New Roman" w:cs="Times New Roman" w:eastAsia="Times New Roman" w:hAnsi="Times New Roman"/>
          <w:sz w:val="18"/>
          <w:szCs w:val="18"/>
          <w:color w:val="auto"/>
        </w:rPr>
      </w:pPr>
    </w:p>
    <w:p>
      <w:pPr>
        <w:ind w:left="54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397,939186,245</w:t>
      </w:r>
    </w:p>
    <w:p>
      <w:pPr>
        <w:spacing w:after="0" w:line="58" w:lineRule="exact"/>
        <w:rPr>
          <w:sz w:val="20"/>
          <w:szCs w:val="20"/>
          <w:color w:val="auto"/>
        </w:rPr>
      </w:pPr>
    </w:p>
    <w:p>
      <w:pPr>
        <w:ind w:left="5"/>
        <w:spacing w:after="0"/>
        <w:tabs>
          <w:tab w:leader="none" w:pos="385" w:val="left"/>
          <w:tab w:leader="none" w:pos="1325" w:val="left"/>
          <w:tab w:leader="none" w:pos="1725" w:val="left"/>
        </w:tabs>
        <w:rPr>
          <w:sz w:val="20"/>
          <w:szCs w:val="20"/>
          <w:color w:val="auto"/>
        </w:rPr>
      </w:pP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2,323,347</w:t>
        <w:tab/>
        <w:t>$</w:t>
      </w:r>
      <w:r>
        <w:rPr>
          <w:sz w:val="20"/>
          <w:szCs w:val="20"/>
          <w:color w:val="auto"/>
        </w:rPr>
        <w:tab/>
      </w:r>
      <w:r>
        <w:rPr>
          <w:rFonts w:ascii="Times New Roman" w:cs="Times New Roman" w:eastAsia="Times New Roman" w:hAnsi="Times New Roman"/>
          <w:sz w:val="18"/>
          <w:szCs w:val="18"/>
          <w:u w:val="single" w:color="auto"/>
          <w:color w:val="auto"/>
        </w:rPr>
        <w:t>1,430,881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156019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55" w:space="720"/>
            <w:col w:w="2565"/>
          </w:cols>
          <w:pgMar w:left="320" w:top="873" w:right="33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Commitment and Contingencies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Since September 2025 the Company has been involved in litigation related to the termination of one of its former founders. Refer to the Form 10-K filed with the SEC on March 11, 2026 for a more comprehensive discussion of the matter. There were no material developments in this matter during the period ended March 31, 2026. The outcome of this legal proceeding is not known or probable at this time; accordingly, no amounts have been accrued for a potential loss.</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to the matters described above, in the ordinary course of business, the Company may become subject to litigation, claims, and regulatory matters. Although it is not feasible to predict the outcome of these matters, the Company believes, unless otherwise indicated below, given the information currently available, that the ultimate resolution of any particular matter, or matters that have the same legal or factual issues, will not have a material adverse effect on its financial condition, results of operations and cash flows.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Note 18 - Segment Reporting</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operates a single reportable segment, which generates revenue primarily from the sale of hardware and related software solutions. Hardware sales represent the initial step in a customer’s adoption of the Company’s SaaS subscription platform and have been a primary driver of revenue growth. This segment also includes ongoing software and subscription services, as well as exclusivity arrangements with resellers that provide protection from competitive sales. The Company’s focus on this integrated hardware and software model reflects its strategy to expand customer adoption of its SaaS platform, strengthen reseller partnerships, and drive sustainable growth.</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Revenue by major product and service category for the three months ended March 31, 2026 and 2025 is presented in the table below. Product revenue consists primarily of sales of hardware devices, such as bridges, labels, and gateways, which represent the initial step in a customer’s adoption of the Company’s SaaS subscription platform and have contributed significantly to overall revenue growth. Service revenue consists primarily of software subscription services providing access to the Company’s cloud-based platform, as well as related training, support, exclusivity arrangement services, professional services such as onboarding and consulting, and feasibility study reports provided to customers. For the three months ended March 31, 2026 and 2025, revenue was generated solely from services. All of the Company’s revenue for the periods presented was generated from customers located in the United States.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Products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12,214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352,498</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Company had total deferred revenue of $1,984,370 and $1,984,550, respectively. Of these amounts, $168,303 and $236,038, respectively, were expected to be recognized as revenue within one year.</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decision-makers (the “CODM”), which are the Company’s Chief Executive Officer and Chief Financial Officer, assess performance for the reportable segment and decide how to allocate resources using net income as the primary measure of profitability. The CODM are not regularly provided with specific segment expenses, but focus on revenue, gross profit, and net income/loss. Expense information, including cost of goods sold, can be easily computed from the information provided. This segment’s measures of profitability are shown in the condensed consolidated statements of operations. The measure of segment assets is reported on the condensed consolidated balance sheets as total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Income Taxes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recorded no income tax expense or benefit due to pre-tax book losses. The Company’s effective tax rate was 0% for both periods, primarily as a result of such losses and the corresponding recognition of deferred tax assets, which are fully offset by a valuation allowance. Based on the weight of available evidence, including the Company’s history of cumulative operating losses, management has concluded that it is more likely than not that its deferred tax assets will not be realized. Accordingly, the Company has recorded a full valuation allowance against its deferred tax assets as of March 31, 2026, resulting in a net deferred tax asset balance of $0.</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 w:name="page27"/>
    <w:bookmarkEnd w:id="26"/>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is subject to income taxes in the United States, as well as various state jurisdictions and Puerto Rico. The Company has not been audited by the Internal Revenue Service, Puerto Rican tax authorities, or any state taxing authorities with respect to income taxes. Tax years beginning with 2021 remain open to examination by federal, state, and Puerto Rico tax authorities. Net operating loss and tax credit carryforwards may be subject to adjustment upon examination in the year of utilization.</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ASC 740. The Company recognizes the tax benefit from an uncertain tax position only if it is more likely than not that the position will be sustained upon examination by taxing authorities based on its technical merits. As of March 31, 2026, the Company has determined that no uncertain tax positions exist. Accordingly, no liability for unrecognized tax benefits has been recorded, and no interest or penalties have been accrued. The Company recognizes interest and penalties, if any, related to unrecognized tax benefits as a component of income tax expense.</w:t>
      </w:r>
    </w:p>
    <w:p>
      <w:pPr>
        <w:spacing w:after="0" w:line="18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did not make any federal, state, or foreign income tax payments during the three months ended March 31, 2026 and 2025. Accordingly, income taxes paid were $0 for all jurisdictions for both periods. Consistent with the Company’s adoption of ASU 2023-09, no disaggregated income taxes paid information is presented as such amounts are immaterial.</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July 4, 2025, legislation commonly referred to as the One Big Beautiful Bill Act (“OBBBA”) was enacted, which modifies certain provisions of U.S. federal tax law, including rules related to research and development expensing, interest limitation deductions, and international taxation. The Company has evaluated the provisions of the legislation and determined that the impact is not expected to be material to its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Subsequent Events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April 17, 2026, the Company entered into a financing arrangement with White Lion Capital, LLC, a Nevada limited liability company (“White Lion”), consisting of an equity purchase facility and senior secured convertible promissory notes (the “White Lion Notes”). Under the equity purchase facility, the Company may sell up to $10,000,000 of its common stock over time through purchase notices, subject to specified pricing terms and ownership limitations. In addition, the Company entered into a note purchase agreement with the investor pursuant to which the investor agreed to purchase senior secured convertible promissory notes in an aggregate principal amount of up to $2,875,000, reflecting a 20% original issue discount applied to aggregate loan proceeds of up to $2,300,000. The notes bear interest at 8% per annum and are issued at a discount.</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convertible notes are secured by substantially all of the Company’s assets and are convertible into common stock at a discount to market price, with provisions for a reduced conversion price upon certain events of default. In connection with the financing, the investor will receive commitment shares valued at $120,000 and warrants to purchase up to $2,000,000 of common stock at an exercise price equal to 99% of the closing market price on the trading day prior to exercise. Total share issuances under the agreements are subject to a 19.99% cap of the Company’s outstanding shares unless stockholder approval is obtained. The Company expects to use the proceeds primarily for general corporate purposes, including supporting liquidity and servicing existing debt obligations. The note is currently structured as a second priority lien, subordinated to the Company’s obligations to J.J. Astor &amp; Co. pursuant to a loan agreement dated December 5, 2025, until those obligations are discharged in full.</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April 24, 2026, the Company completed the first closing under the White Lion Notes. In connection with the first closing, the Company issued a note in the original principal amount of $287,500, with a 20% original issue discount, resulting in gross cash proceeds of $230,000, of which $20,000 was withheld by the holder for legal documentation fees. Pursuant to the note purchase agreement, the proceeds from the first closing are required to be applied toward the Company’s scheduled monthly payments under the senior secured convertible note issued to J.J. Astor &amp; Co.</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May 1, 2026, the Company provided written notice to New Circle Principal Investment LLC of its election to terminate the Standby Equity Purchase Agreement. In accordance with the agreement, termination became effective five trading days following the notice date. The Company confirmed that there were no outstanding purchase notices and that all amounts due under the agreement had been fully paid as of the notice date.</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May 7, 2026, the Company and White Lion entered into a side letter that amended the Note Purchase Agreement by and between the Company and White Lion dated April 17, 2026. Among other things, the side letter permits White Lion, in its discretion and upon written notice (including by email), to accelerate the scheduled dates for the Company’s second and third required subsequent closings under the Note Purchase Agreement, subject to the satisfaction or waiver of the agreement’s closing conditions. The side letter also updates payment mechanics such that (i) the funding for the second closing is wired directly to the Company and (ii) the funding for the third and any optional subsequent closings is wired directly to J.J. Astor &amp; Co. in accordance with its written instructions until all amounts outstanding under the Company’s notes held by J.J. Astor &amp; Co. are paid in full. All other material terms of the Note Purchase Agreement remain in effect.</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Also on May 7, 2026, the Company completed the second closing contemplated by the Note Purchase Agreement and issued to White Lion a senior secured convertible promissory note with an original principal amount of $287,500 for cash proceeds of $230,000 (reflecting a 20% original issue discount). The note bears interest at 8% per annum, with the first six months of interest accruing immediately and guaranteed, and matures six months from the issue date. The note is convertible at White Lion’s option into shares of the Company’s common stock at a conversion price equal to 80% of the lowest daily volume-weighted average price during the 15 trading days ending on the trading day immediately prior to conversion, subject to customary ownership blockers (generally 4.99%, which White Lion may increase to 9.99% upon 61 days’ prior notice). The note is secured by a second-priority lien on substantially all of the Company’s assets, junior to the Company’s obligations to J.J. Astor &amp; Co. The foregoing summary is qualified in its entirety by the governing documents.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on May 6, 2026, pursuant to the Common Stock Purchase Agreement by and between the Company and White Lion dated April 17, 2026,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issued 626,305 shares of its common stock to White Lion as “Commitment Shares.” The number of shares was determined by dividing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$120,000 commitment fee by the closing price of the Company’s common stock on the trading day immediately preceding the applicable determination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as provided in the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501"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Please read the following discussion and analysis of our financial condition and results of operations together with our condensed consolidated financial statements and related notes included in this filing. Some of the information contained in this discussion and analysis, including information regarding our plans and strategy for our business, includes forward-looking statements that involve risks and uncertainties. When reviewing the discussion below, you should carefully consider the substantial risks and uncertainties that could impact our business, results of operations, and financial condition. In particular, we encourage you to review the risks and uncertainties described under “Risks Relating to Our Business and Industry” in our Annual Report on Form 10-K filed with the SEC on March 11, 2026, as well as other risk factors disclosed elsewhere in that filing and in this Report. These risks and uncertainties could cause actual results to differ materially from those projected in forward-looking statements contained in this Form 10-Q or implied by past results and trends. Forward-looking statements are statements that attempt to forecast or anticipate future developments in our business, financial condition, or results of operations. These statements speak only as of their respective dates (unless otherwise indicated), and we undertake no obligation to update or revise them in light of future developments.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CID Holdco, Inc. (the “Company”, or “CID Holdco”, or “CID”), formerly known as SEE ID Inc., dba Dot AI (the “Legacy Company” or “SEE ID”), was incorporated in Delaware with its headquarters in Las Vegas, Nevada. The Company helps businesses transform their operations by optimizing safety, security, and efficiency of operations through real-time tracking of resources. Through the Company’s extensive research and development initiatives, the Company’s main focus includes areas such as Industrial IoT, Indoor &amp; Outdoor tracking with seamless transitions, Passive RFID (including Bluetooth and 5G), Collision Avoidance, real-time locating system, Dolly Management, and related supported software applications.</w:t>
      </w:r>
    </w:p>
    <w:p>
      <w:pPr>
        <w:spacing w:after="0" w:line="183"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The Company is the developer of an asset tracking platform intended to push the limits of near real-time precision-based location technology. The Company’s platform leverages the technologies including the patented passive and active RFID tracking solutions, low power edge camera platforms utilizing artificial intelligence, enabling users to give accuracy to all mapping technologies in areas that are troublesome. Through its technological solutions, the Company serves multiple industries including construction, military, mining, retail, warehousing, and manufacturing.</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is headquartered in Las Vegas, NV with our management and administrative staff located in Bethesda, MD for East Coast customer engagements and government lobbying activity. We also manufacture hardware in Puerto Rico through our wholly owned subsidiary Dot Works. Our embedded development team and Design for Manufacturing (“DFM”) capability is built around our Chief Technology Officer (“CTO”) in Worcester, MA and our core software team is in Bangalore, India.</w:t>
      </w:r>
    </w:p>
    <w:p>
      <w:pPr>
        <w:spacing w:after="0" w:line="18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Throughout this Quarterly Report, unless otherwise noted or otherwise suggested by context, the “Company”, “we”, “us”, “our” refers to SEE ID and Dot Works, as applicable, prior to the consummation of the Business Combination (as defined below), and CID Holdco, SEE ID, and Dot Works, collectively, after the consummation of the Business Combination.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June 18, 2025 (the “Closing Date”) the Company consummated the Business Combination transactions by and among the Company, ShoulderUp Technology Acquisition Corp (“SUAC” or “ShoulderUp”), ShoulderUp Merger Sub, Inc., SEI Merger Sub, Inc., and SEE ID, Inc. Pursuant to the Business Combination Agreement, on the Closing Date, (i) ShoulderUp Merger Sub merged with and into SUAC (the “ShoulderUp Merger”), with SUAC surviving the ShoulderUp Merger as a wholly-owned subsidiary of the Company; and (ii) simultaneously with the ShoulderUp Merger, SEI Merger Sub merged with and into SEE ID (“the SEE ID Merger”), with SEE ID surviving the SEE ID Merger as a wholly-owned subsidiary of the Company (the ShoulderUp Merger and the SEE ID Merger, together the “Mergers” and together with the other transactions contemplated by the Business Combination Agreement, the “Business Combination”).</w:t>
      </w:r>
    </w:p>
    <w:p>
      <w:pPr>
        <w:spacing w:after="0" w:line="18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CID Holdco filed a registration statement on Form S-4 (File No. 333-282600) (as amended, the “Registration Statement”) with the U.S. Securities and Exchange Commission (the “SEC”). On June 18, 2025, the Registration Statement was declared effective by the SEC. At Closing, the assets and liabilities of Legacy Company were combined with the assets and liabilities ShoulderUp Technology Acquisition Corp on a historical cost basis. All Legacy Company Common Stock was exchanged for Common Stock of the Company based upon the exchange ratio as defined in the Business Combination Agreement as Aggregate Merger Consideration (13,000,000 CID Holdco shares) divided by the Company Fully Diluted Common Stock (159,915,641) or 8.129%. Stock options of Legacy Company were not exercised and remain outstanding after giving into effect the exchange ratio. In connection with the Business Combination, we incurred transaction costs, settled certain SUAC related party notes through the issuance of common shares, converted SAFE notes into Common Stock of the Company, and raised cash proceeds from PIPE investors. Additional information regarding the Business Combination and Reverse Recapitalization is provided in Note 3 to the condensed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believe that we have a substantial opportunity to grow our customer base. We intend to drive new customer acquisition by continuing to invest significantly in sales and marketing to engage our prospective customers, increase brand awareness, and drive adoption of our Dot Cloud platform. Our ability to attract new customers depends on a number of factors, including the effectiveness of our sales and marketing efforts, macroeconomic factors and their impact on our customers’ businesses, and the success of our efforts to expand internationally.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Within Our Existing Customer Base</w:t>
      </w:r>
    </w:p>
    <w:p>
      <w:pPr>
        <w:spacing w:after="0" w:line="229"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We believe that there is a significant opportunity to expand sales to existing customers following their initial adoption of our Dot Cloud. We will expand our customer base by selling more applications and expanding use of existing applications across geographies and divisions. Our ability to expand within our customer base will depend on a number of factors, including our customers’ satisfaction, pricing, competition, macroeconomic factors, and changes in our customers’ spending levels. While there are many factors involved in this expansion, the Customer Success department will be the key internal driver to retention and expansion of customer revenue. At this juncture, it is not a significant part of our operational expense but will be built out as our bookings increase and our channel support requirements come online.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Innovation and Future Growth</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market leadership is supported by continuous innovation in our Dot Cloud, our inventions in IoT data collection and our advances in applying AI to our customer problem sets. We will continuously invest in adding new applications and methods to our solutions. As such, spending on research and development will always be an important part of our strategy, however, the driving force that will fuel our company is market growth. Our recent pivot to move most of our spending to Sales and Marketing shows a commitment to our go-to-market strategy. We recognize the need to increase adoption and expand brand awareness as we increase market share.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Adding additional compliance and oversight resources as we grow, and especially as we adapt to operating as a public entity, is a natural and essential step.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our small operations team will continue to grow as the demand increases from our maturing sales pipeline.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will provide access to our Dot Cloud through subscription arrangements, where the customer is charged a per-subscription fee for access for a specified term. Subscription agreements will contain multiple service elements for one or more of our cloud-based Applications via mobile app(s) or a website that enables data collection and provides access to the cellular network, IoT devices (which we also refer to as connected devices), and support services delivered over the term of the arrangement. Our subscription contracts will typically have an initial term of three to five years and are generally non-cancellable and non-refundable, subject to limited exceptions under our standard terms of service and other exceptions for public sector customers, who are often subject to annual budget appropriations cycles. Our Connected Dot Cloud and IoT devices are highly integrated with the subscription service and together will represent a single performance obligation. Revenues attributable to this combined performance obligation are recognized over time as the services are delivered.</w:t>
      </w:r>
    </w:p>
    <w:p>
      <w:pPr>
        <w:spacing w:after="0" w:line="1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also provide professional services including onboarding (implementation) services, marketing services, and product consulting. These services were evaluated to be distinct and are treated as separate performance obligations from the subscription services. Revenue related to these services are recognized over time as services are performed.</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Currently, revenues are primarily related to the delivery of hardware products such as bridges, labels and gateways to customers. We also provide feasibility study reports to customers seeking to gain insight into how data driven tracking could improve their business, which is recognized upon acceptance of the feasibility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 of Overhead Costs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Overhead costs that are not directly attributable to a specific functional group are allocated based on relative usage. These costs include expenses related to warehouse lease and cloud hosting services.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Cost of goods sold consists primarily of cellular-related costs, third-party cloud infrastructure expenses, customer support costs, warranty charges, employee-related costs directly associated with our customer support and operations, including salaries, employee benefits and share-based compensation, amortization of internal-use software development, certain cloud computing implementation costs, expenses related to shipping and handling, packaging, fulfillment, warehousing, write-downs of excess and obsolete inventory, and allocated overhead costs.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our customers expand and increase the use of our Dot Cloud driven by additional IoT devices and Applications, our cost of goods sold may vary from quarter to quarter as a percentage of our revenue due to the timing and extent of these expenses. We intend to continue to invest additional resources in our Dot Cloud and customer support and operations personnel as we grow our business. The level and timing of investment in these areas will affect our cost of goods sold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costs, including salaries, employee benefits and share-based compensation, depreciation and other expenses related to prototyping IoT devices, product initiatives, software subscriptions, hosting used in research and development, and allocated overhead costs. We continue to focus our research and development efforts on adding new features and products and enhancing the utility of our Dot Cloud. We capitalize the portion of our internal-use software development costs that meets the criteria for capitalization. We expect our research and development expenses to generally increase in absolute dollars for the foreseeable future as we continue to invest in research and development efforts to enhance our Dot Cloud. Our research and development expenses may fluctuate as a percentage of our revenue from period to period due to the timing and extent of these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Sales and marketing expenses consist primarily of employee-related costs directly associated with our sales and marketing activities, including salaries, employee benefits and share-based compensation, and sales commissions. Sales and marketing expenses also include expenditures related to advertising, media, marketing, promotional costs, free trial expenses, brand awareness activities, business development, corporate partnerships, travel, conferences and events, professional services, and allocated overhead costs. We also have a heavy reliance on contracted services in these areas which are reflected in the department spend. We plan to continue to invest in sales and marketing to grow our customer base and increase our brand awareness. As a result, we expect our sales and marketing expenses to increase in absolute dollars for the foreseeable future. Our sales and marketing expenses may fluctuate as a percentage of our revenue from period to period due to the timing and extent of these expenses.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of employee-related costs for executive, finance, legal, human resources, facilities, and certain IT personnel, including salaries, employee benefits and share-based compensation, professional fees for external legal, accounting, recruiting and other consulting services, credit losses, allocated overhead costs, and unallocated lease costs. We expect our general and administrative expenses to continue to increase in absolute dollars for the foreseeable future to support our growth and because of additional costs associated with legal, accounting, compliance, insurance, investor relations, and other areas associated with being a public company. Our general and administrative expenses may fluctuate as a percentage of our revenue from period to period due to the timing and extent of these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consists primarily of interest incurred for our short-term loans.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SAFE agreements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change in the fair value of SAFE agreements represents the unrealized gains or losses resulting from the fluctuations in the estimated fair value of the outstanding SAFE agreements, or reevaluation of updated market conditions and company-specific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Cost of Goods Sold, Gross Profit, and Gross Margin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revenue, cost of goods sold, gross profit, and gross margin for the three months ended March 31, 2026 and 2025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8"/>
              </w:rPr>
              <w:t>For the Three Months Ended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58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7"/>
        </w:trPr>
        <w:tc>
          <w:tcPr>
            <w:tcW w:w="58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tcPr>
          <w:p>
            <w:pPr>
              <w:spacing w:after="0"/>
              <w:rPr>
                <w:sz w:val="20"/>
                <w:szCs w:val="20"/>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12,214</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352,498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r>
      <w:tr>
        <w:trPr>
          <w:trHeight w:val="237"/>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20"/>
                <w:szCs w:val="20"/>
                <w:color w:val="auto"/>
              </w:rPr>
            </w:pPr>
          </w:p>
        </w:tc>
        <w:tc>
          <w:tcPr>
            <w:tcW w:w="12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2,666</w:t>
            </w:r>
          </w:p>
        </w:tc>
        <w:tc>
          <w:tcPr>
            <w:tcW w:w="3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17,078</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(14,412)</w:t>
            </w: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(84.4)%</w:t>
            </w:r>
          </w:p>
        </w:tc>
      </w:tr>
      <w:tr>
        <w:trPr>
          <w:trHeight w:val="236"/>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9,548</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335,420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(325,872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51"/>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 %</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Revenue decreased by $340,284, or (96.5)%, for the three months ended March 31, 2026 compared to the three months ended March 31, 2025. Our revenue for the three months ended March 31, 2026 was comprised of subscription service revenue, while our revenue for the three months ended March 31, 2025 was primarily comprised of $250,000 related to the development of product specifications, $98,161 for the amortization of a customer exclusivity agreement, as well as subscription service revenue.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Cost of goods sold decreased by $14,412, or (84.4)%, for the three months ended March 31, 2026 compared to the three months ended March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primarily attributable to lower service costs associated with third-party software licensing.</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gross margin was 78.2% for the three months ended March 31, 2026 compared to 95.2% for the three months ended March 31, 2025. The decrease in gross margin is primarily attributable to changes in the mix of services provided during the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2026 and 2025 are summarized as follows:</w:t>
      </w:r>
    </w:p>
    <w:p>
      <w:pPr>
        <w:spacing w:after="0" w:line="221" w:lineRule="exact"/>
        <w:rPr>
          <w:sz w:val="20"/>
          <w:szCs w:val="20"/>
          <w:color w:val="auto"/>
        </w:rPr>
      </w:pPr>
    </w:p>
    <w:p>
      <w:pPr>
        <w:jc w:val="center"/>
        <w:ind w:left="31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9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217,441</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55.2%</w:t>
            </w:r>
          </w:p>
        </w:tc>
      </w:tr>
    </w:tbl>
    <w:p>
      <w:pPr>
        <w:spacing w:after="0" w:line="19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increased by $217,441, or 55.2%, for the three months ended March 31, 2026 compared to the three months ended March 31, 2025. The increase was primarily driven by higher labor expenses of $339,292 and R&amp;D cloud costs of $73,929, partially offset by a decrease in R&amp;D compliance and testing expenses of $205,446. Additionally, as the software was placed into service as of January 1, 2026, the Company ceased capitalizing software development costs, which primarily consisted of labor costs, and began amortizing the related asset, contributing to higher labor costs recognized in expense during the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expenses for the three months ended March 31, 2026 and 2025 are summarized as follows:</w:t>
      </w:r>
    </w:p>
    <w:p>
      <w:pPr>
        <w:spacing w:after="0" w:line="221" w:lineRule="exact"/>
        <w:rPr>
          <w:sz w:val="20"/>
          <w:szCs w:val="20"/>
          <w:color w:val="auto"/>
        </w:rPr>
      </w:pPr>
    </w:p>
    <w:p>
      <w:pPr>
        <w:jc w:val="center"/>
        <w:ind w:left="31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9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913,145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682,749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230,396</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33.7%</w:t>
            </w:r>
          </w:p>
        </w:tc>
      </w:tr>
    </w:tbl>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$230,396, or 33.7%, for the three months ended March 31, 2026 compared to the three months ended March 31, 2025. The increase reflects our continued pivot toward market-facing initiatives and was primarily driven by increased spending of $164,196 on brand-related marketing activities, events and sponsorships, and $72,915 on customer relationship management and marketing software tools.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for the three months ended March 31, 2026 and 2025 are summarized as follows:</w:t>
      </w:r>
    </w:p>
    <w:p>
      <w:pPr>
        <w:spacing w:after="0" w:line="221" w:lineRule="exact"/>
        <w:rPr>
          <w:sz w:val="20"/>
          <w:szCs w:val="20"/>
          <w:color w:val="auto"/>
        </w:rPr>
      </w:pPr>
    </w:p>
    <w:p>
      <w:pPr>
        <w:jc w:val="center"/>
        <w:ind w:left="31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9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2,416,712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1,798,981</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291.2%</w:t>
            </w:r>
          </w:p>
        </w:tc>
      </w:tr>
    </w:tbl>
    <w:p>
      <w:pPr>
        <w:spacing w:after="0" w:line="19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$1,798,981, or 291.2%, for the three months ended March 31, 2026 compared to the three months ended March 31, 2025. The increase was primarily due to incremental expenses of $1,277,526 related to operating as a public company, including legal, auditing, accounting and board of director fees, as well as higher labor costs of $443,686 associated with the continued ramp-up of the business.</w:t>
      </w:r>
    </w:p>
    <w:p>
      <w:pPr>
        <w:spacing w:after="0" w:line="172"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 agreements at fair value, beginning of period</w:t>
            </w:r>
          </w:p>
        </w:tc>
        <w:tc>
          <w:tcPr>
            <w:tcW w:w="90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23,334,626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SAFE agreements issued for cash</w:t>
            </w:r>
          </w:p>
        </w:tc>
        <w:tc>
          <w:tcPr>
            <w:tcW w:w="900" w:type="dxa"/>
            <w:vAlign w:val="bottom"/>
          </w:tcPr>
          <w:p>
            <w:pPr>
              <w:spacing w:after="0"/>
              <w:rPr>
                <w:sz w:val="18"/>
                <w:szCs w:val="18"/>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23,752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9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(611,703)</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SAFE notes converted into shares</w:t>
            </w:r>
          </w:p>
        </w:tc>
        <w:tc>
          <w:tcPr>
            <w:tcW w:w="900" w:type="dxa"/>
            <w:vAlign w:val="bottom"/>
          </w:tcPr>
          <w:p>
            <w:pPr>
              <w:spacing w:after="0"/>
              <w:rPr>
                <w:sz w:val="19"/>
                <w:szCs w:val="19"/>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 agreements at fair value, end of period</w:t>
            </w: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90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22,746,675</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680"/>
        <w:spacing w:after="0" w:line="266" w:lineRule="auto"/>
        <w:rPr>
          <w:sz w:val="20"/>
          <w:szCs w:val="20"/>
          <w:color w:val="auto"/>
        </w:rPr>
      </w:pPr>
      <w:r>
        <w:rPr>
          <w:rFonts w:ascii="Times New Roman" w:cs="Times New Roman" w:eastAsia="Times New Roman" w:hAnsi="Times New Roman"/>
          <w:sz w:val="18"/>
          <w:szCs w:val="18"/>
          <w:color w:val="auto"/>
        </w:rPr>
        <w:t>The decrease in the liability balance of SAFE agreements for the three months ended March 31, 2026, compared to March 31, 2025, was primarily attributable to the conversion of the SAFE notes into company shares upon the closing of the Business Combination. Upon conversion, the related liabilities were reclassified to equity.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 and Going Concern</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Liquidity is a measure of our ability to access sufficient cash flows to meet the short-term and long-term cash requirements of our business operations. To date, we have funded our operations primarily with proceeds from the issuance of shares of our Common Stock to PIPE investors contemporaneously with the close of the Business Combination, proceeds from bridge loans and other short-term borrowings. Our future capital requirements will depend on many factors, including, but not limited to, our growth, our ability to attract and retain customers, the continued market acceptance of our solution, the timing and extent of spending necessary to support our efforts to develop our Dot Cloud and meet our performance obligations related to subscription sales of the same, the expansion of sales and marketing activities, and the impact of macroeconomic conditions on us and our customers’ and partners’ businesses. Further, we may enter into arrangements to acquire or invest in businesses, products, services, and technologies. We will need to raise additional capital in the future to finance our operations and expand our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ind w:right="160"/>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the Company’s assessment of going concern considerations in accordance with the Financial Accounting Standards Board (“FASB”) ASC Topic 205-40, </w:t>
      </w:r>
      <w:r>
        <w:rPr>
          <w:rFonts w:ascii="Times New Roman" w:cs="Times New Roman" w:eastAsia="Times New Roman" w:hAnsi="Times New Roman"/>
          <w:sz w:val="18"/>
          <w:szCs w:val="18"/>
          <w:i w:val="1"/>
          <w:iCs w:val="1"/>
          <w:color w:val="auto"/>
        </w:rPr>
        <w:t>Presentation of Financial Statements — Going Concern,</w:t>
      </w:r>
      <w:r>
        <w:rPr>
          <w:rFonts w:ascii="Times New Roman" w:cs="Times New Roman" w:eastAsia="Times New Roman" w:hAnsi="Times New Roman"/>
          <w:sz w:val="18"/>
          <w:szCs w:val="18"/>
          <w:color w:val="auto"/>
        </w:rPr>
        <w:t xml:space="preserve"> management anticipates the Company will continue to incur substantial operating losses for the next several years and will need to obtain additional near-term financing in order to continue its research and development activities. Our ability to continue as a going concern is dependent on our ability to raise additional capital to fund research and development activities and meet obligations on a timely basis; however, there can be no assurance that sufficient funding will be available to allow us to successfully continue our research and development activities and commercialize our products.</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the Company is unable to obtain necessary funds through its business operations and the proceeds realized through the Business Combination, significant reductions in spending and the delay or cancellation of planned activities may be necessary. These actions would have a material adverse effect on our business, results of operations, and prospects. These conditions raise substantial doubt about our ability to continue as a going concern within one year from the date these condensed consolidated financial statements are issued.</w:t>
      </w:r>
    </w:p>
    <w:p>
      <w:pPr>
        <w:spacing w:after="0" w:line="180"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we had cash of $853,728 and $865,624, respectively, deficits in working capital of $5,828,944 and $1,730,095, respectively, and accumulated deficits of $65,916,502 and $61,451,334,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 date, we have funded our operations primarily through proceeds from the issuance of common shares to PIPE investors in connection with the closing of the Business Combination, totaling $10,837,643, proceeds from bridge loans and other short-term borrowings. In the future, we expect to finance our cash needs through a combination of equity, debt financings, and improvement of cash from operations derived from selling subscriptions to our platform.</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part of its funding efforts, on June 18, 2025, the Company entered into a Standby Equity Purchase Agreement (“SEPA”) with New Circle Principal Investment LLC (“New Circle”), which provides the Company the right, but not the obligation, to direct New Circle from time to time to purchase up to $50 million of shares of the Company’s Common Shares during the commitment period ending June 18, 2028, at a discount of the VWAP over a defined pricing period. Under the SEPA, the Company may sell shares to New Circle at a price based on either: option 1 – 97% of the lowest daily VWAP over the three trading days following the purchase notice, or option 2 – the greater of 85% of the VWAP or the lowest sale price on a specific trading day determined by the timing of the notice.</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Any purchase would be subject to certain limitations, including that New Circle shall not purchase any shares that would result in it and its affiliates beneficially owning more than 4.99% of the then outstanding voting power or number of shares of Common Stock or any shares that would exceed 19.99% of all shares of Common Stock of the Company outstanding on the date of the SEPA, unless Company shareholder approval was obtained allowing for issuances in excess of such amount (the “Exchange Cap”). The Exchange Cap will not apply under certain circumstances, including where the average purchase price of all applicable sales of Common Shares equals or exceeds the lower of (i) the Nasdaq Official Closing Price immediately preceding the Effective Date; or (ii) the average Nasdaq Official Closing Price for the five Trading Days immediately preceding the Effective Date.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 had the option to satisfy the $350,000 commitment fee under the SEPA through the issuance of a variable number of shares of Common Stock or by payment in cash. On September 24, 2025, the Company paid the commitment fee through the issuance of 106,383 shares of Common Stock, valued at $3.29 per share, which was determined based on the closing price of the Common Stock on September 18, 2025, the date the Form S-1 was declared effective by the SEC. The commitment fee of $350,000 was expensed in September 2025.</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Before the Company elects to sell shares by issuing a purchase notice, the SEPA represents a purchased put option on the Company’s equity. Once the Company delivers a purchase notice under the SEPA, the related number of shares to be issued constitutes a forward contract to issue shares of Common Stock. As the feature is embedded in an equity host, meets the definition of a derivative, and does not qualify for the equity scope exception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it must be bifurcated and accounted for separately as a derivative asset or liability, depending on changes in the underlying stock price relative to the pegged discounted VWAP. The derivative is measured at fair value, with changes in fair value recognized in net income. The fair value of the purchased put option was determined to be de minimis as of March 31, 2026, and therefore was not recorded on the Company’s balance sheet as of that 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13, December 30, December 31, 2025, and February 10, 2026, the Company delivered purchase notices for 30,000, 500,000, 1,000,000,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20,000 shares, respectively, at settlement prices of $2.62, $0.32, $0.32, and $0.26 per share. This resulted in gross proceeds of $78,516, $159,500,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$317,000, and $5,164, respectively. The Company issued 30,000 shares in October 2025, 1,000,000 shares in December 2025, 500,000 shares in January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and 20,000 shares in February 2026. Because the shares were issued to New Circle at prices determined using a discounted VWAP formula, the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received were below the fair value of the shares on the respective issuance dates. The Company measured the shares at fair value on the date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 received and recognized the difference between (i) the fair value of the shares issued and (ii) the proceeds calculated pursuant to the discounted VWAP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pricing terms. For the three months ended March 31, 2026, the Company recorded a loss of $1,256 on the issuance of shares in the statement of operations.</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March 31, 2026, Edmund Nabrotzky, Chief Executive Officer of the Company, Charles Maddox, Chief Financial Officer and Chief Operating Officer of the Company, and Vijayan Nambiar, Chief Technology Officer of the Company loaned the Company an aggregate of $349,996 and may make additional loans to the Company up to an aggregate amount of $600,000 (collectively, the “Executive Loans”). The Executive Loans have been made, on the terms and conditions of an unsecured, subordinated promissory note (the “Executive Notes”). The Executive Notes accrue interest at a rate of 7.5% per annum, and will be paid in quarterly installments on July 1, 2026, October 1, 2026 with a final payment by December 31, 2026. All of the Company’s obligations and payments under the Executive Notes are subordinated to the Company’s obligations under the loan agreement with J.J. Astor &amp; Co.</w:t>
      </w:r>
    </w:p>
    <w:p>
      <w:pPr>
        <w:spacing w:after="0" w:line="187"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7"/>
          <w:szCs w:val="17"/>
          <w:color w:val="auto"/>
        </w:rPr>
        <w:t>Subsequent to the end of the first quarter, on April 17, 2026, the Company entered into a financing arrangement with an investor consisting of an equity purchase facility and senior secured convertible promissory notes. Under the equity purchase facility, the Company may sell up to $10,000,000 of its common stock over time through purchase notices, subject to specified pricing terms and ownership limitations. In addition, the Company entered into a note purchase agreement with the investor pursuant to which the investor agreed to purchase senior secured convertible promissory notes in an aggregate principal amount of up to $2,875,000, reflecting a 20% original issue discount applied to aggregate loan proceeds of up to $2,300,000. The notes bear interest at 8% per annum and are issued at a discount. The convertible notes are secured by substantially all of the Company’s assets and are convertible into common stock at a discount to market price, with provisions for a reduced conversion price upon certain events of default. The note is currently structured as a second priority lien, subordinated to the Company’s obligations to J.J. Astor &amp; Co. pursuant to a loan agreement dated December 5, 2025, until those obligations are discharged in full. In connection with the financing, the investor will receive commitment shares valued at $120,000 and warrants to purchase up to $2,000,000 of common stock at an exercise price equal to 99% of the closing market price on the trading day prior to exercise. Total share issuances under the agreements are subject to a 19.99% cap of the Company’s outstanding shares unless stockholder approval is obtained. The Company expects to use the proceeds primarily for general corporate purposes, including supporting liquidity and servicing existing debt obligations.</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2026 and 2025</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a summary of our cash flow for the periods presented: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256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93,806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(1,721,469)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(278,413)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(105,702)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1,623,752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Our largest source of operating cash is investments made by our shareholders. Our primary uses of cash from operating activities are for employee-related expenditures, sales and marketing expenses, inventory purchases, and research &amp; development activities. We have supplemented working capital through net proceeds from the sale of equity securities and bridge loans.</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was $0.1 million for the three months ended March 31, 2026. This consisted of a net loss of $4.5 million adjusted for non-cash charges of $0.4 million and net changes in operating assets and liabilities of $4.2 million. The non-cash charges were primarily driven by fair value of shares issued for services of $0.1 million and depreciation and amortization of $0.2 million. Changes in operating assets and liabilities were primarily attributable to decreases in accounts receivable of $3.5 million, increases in accounts payable of $1.4 million and accrued expenses of $0.2 million, partially offset by increase in inventory of $0.9 million.</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Cash used in operating activities was $1.7 million for the three months ended March 31, 2025. This consisted of a net loss of $1.3 million, adjusted for non-cash charges of approximately $0.6 million and net changes in operating assets and liabilities of approximately $0.2 million. Non-cash charges were primarily driven by a $0.6 million change in the fair value of SAFE notes. Changes in operating assets and liabilities were primarily attributable to a decrease in deferred revenue of $0.1 million and increase in interest payable of $0.2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investing activities for the three months ended March 31, 2026.</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$0.3 million for the three months ended March 31, 2025, which consisted of capital expenditures for internal-use software development costs.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Cash used by financing activities was $0.1 million for the three months ended March 31, 2026. This consisted primarily of proceeds from issuance of short-term loans to related parties of $0.3 million, offset by repayments of short-term loans of $0.5 million.</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was $1.6 million for the three months ended March 31, 2025, which consisted of proceeds from the issuance of bridge loans.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Our estimated future obligations consist of leases and non-cancelable purchase commitments as of March 31, 2026. For additional discussion on our leases and other commitments, refer to Note 13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17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condensed consolidated financial statements for the three months ended March 31, 2026 included elsewhere in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U.S. GAAP. The preparation of these financial statements requires management to make estimates and assumptions that affect the reported amounts of assets, liabilities, revenues, and expenses, as well as related disclosures. Actual results may differ from those estimates under different assumptions or conditions.</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those disclosed in our Annual Report on Form 10-K filed with the SEC on March 11, 2026. Refer to the section titled “Critical Accounting Policies and Estimates” included in that filing for a discussion of our significant judgments and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describe the recently issued accounting pronouncements that apply in Note 2 of the condensed consolidated financial statements as of and for the three months ended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Section 21E of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current management, including our CEO and CFO, we evaluated the effectiveness of our disclosure controls and procedures as defined in Rules 13a-15(e) and 15d-15(e) under the Securities Exchange Act of 1934, as amended (the “Exchange Act”), as of March 31, 2026. Based on this evaluation of our disclosure controls and procedures, our CEO and CFO have concluded that our disclosure controls and procedures were not effective as of March 31, 2026 because of certain material weaknesses in our internal control over financial reporting, as further described below.</w:t>
      </w:r>
    </w:p>
    <w:p>
      <w:pPr>
        <w:spacing w:after="0" w:line="18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Notwithstanding the conclusion by our CEO and CFO that our disclosure controls and procedures as of March 31, 2026 were not effective, and notwithstanding the material weaknesses in our internal control over financial reporting described below, management believes that the condensed consolidated financial statements and related financial information included in this Quarterly Report on Form 10-Q fairly present in all material respects our financial condition, results of operations, and cash flows as of the dates presented, and for the periods ended on such dates, in conformity with accounting principles generally accepted in the United States of America (“U.S. GAAP”).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Weaknesses</w:t>
      </w:r>
    </w:p>
    <w:p>
      <w:pPr>
        <w:spacing w:after="0" w:line="22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Accounting Personnel and Financial Reporting Controls. </w:t>
      </w:r>
      <w:r>
        <w:rPr>
          <w:rFonts w:ascii="Times New Roman" w:cs="Times New Roman" w:eastAsia="Times New Roman" w:hAnsi="Times New Roman"/>
          <w:sz w:val="18"/>
          <w:szCs w:val="18"/>
          <w:color w:val="auto"/>
        </w:rPr>
        <w:t>Management determined that the Company does not currently maintain sufficient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personnel and has not fully designed and implemented the processes and internal controls necessary to support accurate and timely financial reporting. These deficiencies (i) limit the Company’s ability to effectively review and approve certain material journal entries and properly adopt new accounting pronouncements, increasing the risk that a material misstatement of interim or annual financial statements may not be prevented or detected on a timely basis, and (ii) have resulted in an insufficient segregation of duties between the preparation, review, and approval of certain material reconciliations and other financial reporting controls.</w:t>
      </w: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3" w:right="399" w:bottom="1440" w:gutter="0" w:footer="0" w:header="0"/>
        </w:sectPr>
      </w:pPr>
    </w:p>
    <w:bookmarkStart w:id="39" w:name="page40"/>
    <w:bookmarkEnd w:id="39"/>
    <w:p>
      <w:pPr>
        <w:ind w:right="2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management identified that the Company did not initially accrue all Board of Director compensation earned during the year ended December 31, 2025. During the year-end audit process, management recorded the appropriate accrual and related Board of Director compensation expense for the year ended December 31, 2025.</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management identified presentation revisions in the statements of cash flows for the six months ended June 30, 2025 and the nine months ended September 30, 2025. Certain items were reclassified between operating and financing activities, including amounts related to short-term debt and proceeds from bridge financing arrangements, and certain components associated with the reverse recapitalization transaction were adjusted for proper presentation. These revisions affected the classification of cash flows between operating and financing activities but had no impact on total change in cash, net loss, or previously reported balance sheet amounts.</w:t>
      </w:r>
    </w:p>
    <w:p>
      <w:pPr>
        <w:spacing w:after="0" w:line="18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Management evaluated the quantitative and qualitative factors associated with these matters and concluded that the corrections were not material to any previously issued annual or interim financial statements. Accordingly, the Company has reflected these changes in the affected prior-period financial statements in this Quarterly Report to reflect these reclassifications as immaterial reclassifications to previously issued financial statements.</w:t>
      </w:r>
    </w:p>
    <w:p>
      <w:pPr>
        <w:spacing w:after="0" w:line="17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Fair Value Calculation Controls. </w:t>
      </w:r>
      <w:r>
        <w:rPr>
          <w:rFonts w:ascii="Times New Roman" w:cs="Times New Roman" w:eastAsia="Times New Roman" w:hAnsi="Times New Roman"/>
          <w:sz w:val="18"/>
          <w:szCs w:val="18"/>
          <w:color w:val="auto"/>
        </w:rPr>
        <w:t>In addition, management identified a material weaknesses in the design of internal controls related to the review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fair value calculation of SAFE notes performed by a third-party valuation specialist. The controls lacked the precision needed to detect inappropriate inputs that could materially impact valuation.</w:t>
      </w:r>
    </w:p>
    <w:p>
      <w:pPr>
        <w:spacing w:after="0" w:line="17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is actively working to develop and implement remediation plans related to the material weakness identified in this section. Remediation efforts include enhancing the design and implementation of controls over the accounting for financial instruments and hiring additional qualified accounting personnel.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Control over Financial Reporting</w:t>
      </w:r>
    </w:p>
    <w:p>
      <w:pPr>
        <w:spacing w:after="0" w:line="229"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There were no other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40" w:name="page41"/>
    <w:bookmarkEnd w:id="4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Other than as described below,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Company has been made aware of a complaint (the “Complaint”) filed by William Reny (“Plaintiff”), a greater than five percent (5%) holder of the Company’s outstanding common stock, par value $0.0001 per share, against SEE ID, Charles Maddox and Ed Nabrotzky, each a director of SEE ID, and Does 1-20 (collectively with SEE ID, Mr. Maddox and Mr. Nabrotzky, the “Defendants”), in the District Court of Clark County, Nevada.</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Complaint alleges, among other things, (a) breach of Plaintiff’s employment agreement, and an implied covenant of good faith and fair dealing in respect thereof, by SEE ID by (i) terminating Mr. Reny’s employment for “cause,” (ii) not paying Plaintiff certain compensation and benefits, (iii) not permitting Plaintiff to transfer shares to a third party, and (iv) otherwise harming Plaintiff; (b) tortious interference with a contract, tortious interference with prospective economic advantage and conspiracy/concert of action by Messrs. Maddox and Nabrotzky with respect to a contract Plaintiff had with a third party to purchase a home by not permitting Mr. Reny to transfer shares to a third party; (c) conversion, failure to produce business records under NRS chapter 78 or unjust enrichment by one or more of the Defendants. Plaintiff seeks direct damages, interest, statutory damages and penalties, records production, injunctive relief as appropriate, an accounting, reasonable attorney’s fees and costs and punitive damages in excess of $50,000.</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October 23, 2025, the Company filed a motion to dismiss several causes of action and requested that the court dismiss all claims in their entirety. On December 15, 2025, the District Court of Clark County, Nevada denied the Company’s motion to dismiss with respect to the former employee’s claims for intentional interference with contract, intentional interference with prospective economic advantage, civil conspiracy/concert of action and conversion, and granted the motion with respect to the unjust enrichment claim. The Company and the Defendants continue to vigorously defend the action and are pursuing available legal remedies, including seeking dismissal of claims. Except as required by law, the Company does not intend to comment further on this matter.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of the date of this Quarterly Report, there have been no material changes to the risk factors previously disclosed in our Form 10-K filed on March 11, 2026, and our Closing Form 8-K filed on June 26, 2025, other than as provided below. Any of these factors could have a material adverse effect on our results of operations or financial condition. Additional risks not currently known to us or that we presently consider immaterial may also adversely affect our business or results of operations.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3" w:right="399" w:bottom="1440" w:gutter="0" w:footer="0" w:header="0"/>
        </w:sectPr>
      </w:pPr>
    </w:p>
    <w:bookmarkStart w:id="41" w:name="page42"/>
    <w:bookmarkEnd w:id="41"/>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of shares of our Common Stock to White Lion under the Common Stock Purchase Agreement will dilute the ownership interest of our existing stockholders.</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may sell up to $10,000,000 of our Common Stock to White Lion Capital, LLC (“White Lion” or the “Selling Securityholder”) under the Common Stock Purchase Agreement. The shares will be sold to White Lion at a discount to the then-prevailing market price. To the extent we sell shares to White Lion under the Common Stock Purchase Agreement dated April 17, 2026 between us and White Lion (the “Common Stock Purchase Agreement” or “ELOC Agreement”), additional shares of our Common Stock will be issued, which will result in dilution to the holders of our Common Stock. In addition, the lower our stock price is at the time we elect to sell shares, the more shares we would need to issue for any given dollar amount of proceeds, resulting in greater dilution to our existing stockholders. Our existing stockholders may experience substantial dilution as a result of issuances of shares under the Common Stock Purchase Agreement, and such dilution could cause the trading price of our Common Stock to decline.</w:t>
      </w:r>
    </w:p>
    <w:p>
      <w:pPr>
        <w:spacing w:after="0" w:line="18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we will sell to White Lion under the ELOC Agreement, or the actual gross proceeds resulting from those sales. We may not have access to the full amount available under the ELOC Agreement.</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April 17, 2026, we entered into the Common Stock Purchase Agreement with White Lion, pursuant to which White Lion committed to purchase up to $10,000,000 of our Common Stock, subject to certain limitations and conditions set forth in the Common Stock Purchase Agreement. The Common Stock that may be issued under the Common Stock Purchase Agreement may be sold by us to White Lion at our discretion, from time to time, over a period ending December 31, 2028, commencing on the date of the ELOC Agreement. We generally have the right to control the timing and amount of any sales of our Common Stock to White Lion under the ELOC Agreement. Sales of our Common Stock to White Lion under the ELOC Agreement will depend upon market conditions as well as other factors to be determined by us. We may ultimately decide to sell to White Lion all or a portion of the shares of our Common Stock that may be available pursuant to the ELOC Agreement, or decide to terminate the ELOC Agreement or not sell to White Lion any Common Stock that may be available for us to sell to White Lion thereunder.</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Because the purchase price per share to be paid by the White Lion for the shares of Common Stock that we may elect to sell to White Lion under the ELOC Agreement will fluctuate based on the market prices of our Common Stock during the applicable pricing period for each purchase, it is not possible for us to predict the number of Common Stock that we will sell to White Lion under the ELOC Agreement, the purchase price per share that the White Lion will pay for shares purchased from us under the ELOC Agreement, or the aggregate gross proceeds that we will receive from those purchases by the White Lion under the ELOC Agreement.</w:t>
      </w:r>
    </w:p>
    <w:p>
      <w:pPr>
        <w:spacing w:after="0" w:line="183"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Although the ELOC Agreement provides that we may sell up to an aggregate of $10,000,000 of shares of Common Stock to White Lion, only 15,000,000 shares of Common Stock that may be issued to White Lion under the ELOC Agreement are registered for resale by White Lion.</w:t>
      </w:r>
    </w:p>
    <w:p>
      <w:pPr>
        <w:spacing w:after="0" w:line="1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If we elect to sell to White Lion all of the 15,000,000 shares of Common Stock registered for resale by White Lion, depending on the market prices of our Common Stock during the applicable pricing period for each purchase made pursuant to the ELOC Agreement, the actual gross proceeds from the sale of all such shares may be substantially less than the $10,000,000 total commitment originally available to us under the ELOC Agreement.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2" w:name="page43"/>
    <w:bookmarkEnd w:id="42"/>
    <w:p>
      <w:pPr>
        <w:spacing w:after="0" w:line="254" w:lineRule="auto"/>
        <w:rPr>
          <w:sz w:val="20"/>
          <w:szCs w:val="20"/>
          <w:color w:val="auto"/>
        </w:rPr>
      </w:pPr>
      <w:r>
        <w:rPr>
          <w:rFonts w:ascii="Times New Roman" w:cs="Times New Roman" w:eastAsia="Times New Roman" w:hAnsi="Times New Roman"/>
          <w:sz w:val="18"/>
          <w:szCs w:val="18"/>
          <w:color w:val="auto"/>
        </w:rPr>
        <w:t>In addition, White Lion will not be required to purchase any shares of Common Stock if such sale would result in White Lion’s beneficial ownership exceeding 4.99% of the then-outstanding voting power or shares of Common Stock; provided, that the beneficial ownership limitation may be increased to 9.99% upon the mutual written agreement of the Company and White Lion, effective not less than sixty-one (61) days after such mutual written agreement. Any issuance and sale by us under the ELOC Agreement of a substantial amount of shares of our Common Stock in addition to the 15,000,000 shares of Common Stock registered for resale by White Lion could cause additional substantial dilution to our stockholders. The number of shares of Common Stock ultimately offered for resale by White Lion is dependent upon the number of shares of Common Stock we ultimately sell to White Lion under the ELOC Agreement. Our inability to access a portion or the full amount available under the ELOC Agreement, in the absence of any other financing sources, could have a material adverse effect on our business.</w:t>
      </w:r>
    </w:p>
    <w:p>
      <w:pPr>
        <w:spacing w:after="0" w:line="188"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issuance of certain securities under the Common Stock Purchase Agreement, the common stock purchase warrant issued to White Lion (the “Commitment Warrant”), and the Note Purchase Agreement is contingent upon us obtaining stockholder approval pursuant to Nasdaq Rule 5635 (“Stockholder Approval”). If we do not obtain the Stockholder Approval, these securities may never become issuable and/or exercisable.</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it becomes necessary for us to issue and sell to White Lion Common Stock in excess of the exchange cap under the Common Stock Purchase Agreement in order to receive aggregate gross proceeds equal to $10,000,000 under the Common Stock Purchase Agreement, then for so long as the Exchange Cap continues to apply to issuances and sales of Common Stock under the Common Stock Purchase Agreement, we must first obtain Stockholder Approval. In addition, no tranche of the convertible notes may be funded until Stockholder Approval has been obtained. If we are unable to obtain the required Stockholder Approval, these securities will not be issuable and/or exercisable, and will have little to no value.</w:t>
      </w:r>
    </w:p>
    <w:p>
      <w:pPr>
        <w:spacing w:after="0" w:line="18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has agreed to use commercially reasonable efforts to duly call, give notice of, convene, and hold a stockholder meeting (the “Stockholder Meeting”) as soon as reasonably practicable, but in no event later than May 15, 2026, for the purposes of obtaining Stockholder Approval. If the Company fails to hold a Stockholder Meeting by May 15, 2026, it shall pay liquidated damages to White Lion, as more fully described in the Common Stock Purchase Agreement. In the event Stockholder Approval is not obtained at the first Stockholder Meeting, the Company is obligated to cause an additional Stockholder Meeting to be held every one hundred eighty (180) days during the period beginning on such date and continuing seven hundred twenty (720) days thereafter, until Stockholder Approval is obtained.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who buy shares at different times will likely pay different prices.</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Pursuant to the ELOC Agreement, we will have discretion, subject to market demand, to vary the timing, prices, and numbers of shares sold to the White Lion. If and when we do elect to sell shares of Common Stock to the White Lion under the ELOC Agreement, after the White Lion has acquired such shares, the White Lion may resell all or a portion of such shares at any time or from time to time in its discretion and at different prices. As a result, investors who purchase shares from the White Lion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the White Lion as a result of future sales made by us to the White Lion at prices lower than the prices such investors paid for their shares.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43" w:name="page44"/>
    <w:bookmarkEnd w:id="43"/>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and issuance of our Common Stock to the Selling Securityholder will cause dilution to our existing stockholders, and the sale of the shares acquired by the Selling Securityholder, or the perception that such sales may occur, could cause the price of our Common Stock to decline.</w:t>
      </w:r>
    </w:p>
    <w:p>
      <w:pPr>
        <w:spacing w:after="0" w:line="15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subject to the restrictions and limitations described below. If our shareholders sell, or the market perceives that our shareholders intend to sell, substantial amounts of shares of our Common Stock in the public market following this offering, the market price of shares of our Common Stock could decline significantly.</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Selling Securityholder can resell up to 51,000,000 shares. After the Selling Securityholder has acquired the shares, the Selling Securityholder may resell all, some, or none of those shares at any time or from time to time in its discretion. Therefore, sales to the Selling Securityholder by us could result in substantial dilution to the interests of other holders of our Common Stock. Additionally, sales of a substantial number of shares of our Common Stock in the public market by the Selling Securityholder and/or by our other existing stockholders, or the perception that those sales might occur, could depress the market price of our Common Stock and could impair our ability to raise capital through the sale of additional equity securities in the future at a time and at a price that we might otherwise wish to effect sales.</w:t>
      </w:r>
    </w:p>
    <w:p>
      <w:pPr>
        <w:spacing w:after="0" w:line="183"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we receive from the sale of shares to the Selling Securityholder and may not use them effectively.</w:t>
      </w:r>
    </w:p>
    <w:p>
      <w:pPr>
        <w:spacing w:after="0" w:line="15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proceeds we receive from the Selling Securityholder pursuant to sales of Common Stock under the Common Stock Purchase Agreement, if any, and you will not have the opportunity as part of your investment decision to assess whether our management is using the proceeds appropriately. Because of the number and variability of factors that will determine our use of our proceeds from the Selling Securityholder, their ultimate use may vary substantially from their currently intended use. The failure by our management to apply these funds effectively could result in financial losses that could have a material adverse effect on our business and cause the price of our Common Stock to decline. Pending their use, we may invest the proceeds from the Selling Securityholder in short-term, investment-grade, interest-bearing securities. These investments may not yield a favorable return to our stockholders.</w:t>
      </w:r>
    </w:p>
    <w:p>
      <w:pPr>
        <w:spacing w:after="0" w:line="18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convertible notes issuable to White Lion will be secured by substantially all of our assets, and a default could result in White Lion foreclosing on our assets.</w:t>
      </w:r>
    </w:p>
    <w:p>
      <w:pPr>
        <w:spacing w:after="0" w:line="159" w:lineRule="exact"/>
        <w:rPr>
          <w:sz w:val="20"/>
          <w:szCs w:val="20"/>
          <w:color w:val="auto"/>
        </w:rPr>
      </w:pPr>
    </w:p>
    <w:p>
      <w:pPr>
        <w:jc w:val="both"/>
        <w:ind w:right="560"/>
        <w:spacing w:after="0" w:line="312" w:lineRule="auto"/>
        <w:rPr>
          <w:sz w:val="20"/>
          <w:szCs w:val="20"/>
          <w:color w:val="auto"/>
        </w:rPr>
      </w:pPr>
      <w:r>
        <w:rPr>
          <w:rFonts w:ascii="Times New Roman" w:cs="Times New Roman" w:eastAsia="Times New Roman" w:hAnsi="Times New Roman"/>
          <w:sz w:val="17"/>
          <w:szCs w:val="17"/>
          <w:color w:val="auto"/>
        </w:rPr>
        <w:t>Our obligations under the convertible notes will be secured by a security interest in all of our assets and personal property, including our intellectual property. If we default under the convertible notes, White Lion could foreclose on our assets, which could force us to curtail or cease our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White Lion has the right to require us to apply a portion of our financing proceeds toward repayment of the convertible notes.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Under the terms of the Note Purchase Agreement with White Lion, White Lion has the right to require us to apply up to 10% of all cash proceeds received from the issuance of securities pursuant to the Common Stock Purchase Agreement, the exercise of the Commitment Warrant, or the issuance of any other securities of the Company, toward repayment of the convertible notes. This could reduce the amount of proceeds available to us for working capital and other corporate purposes.</w:t>
      </w:r>
    </w:p>
    <w:p>
      <w:pPr>
        <w:spacing w:after="0" w:line="176"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exercise price of the Commitment Warrant is subject to full ratchet anti-dilution adjustment, which could result in additional dilution to our stockholders.</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Commitment Warrant issued to White Lion includes a full ratchet anti-dilution provision, pursuant to which the exercise price of the Commitment Warrant will be reduced to the effective price per share of any new issuance of Common Stock or Common Stock equivalents below the then-current exercise price (subject to exceptions for exempt issuances). Because the exercise price is initially set at 99% of the closing sales price of the Common Stock on the trading day prior to the exercise date and is subject to downward adjustment, any future dilutive issuance by the Company could result in a reduction of the exercise price and a corresponding increase in the number of shares issuable upon exercise, resulting in additional dilution to our existing stockholders.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June 18, 2025, we consummated the private placement of 3,323,536 shares of Common Stock for an aggregate purchase price of $13,294,144 (the “Private Placement”). Following the closing of the Private Placement, proceeds of the sale of the Common Stock was available for the Company’s working capital purposes The shares were subsequently registered with the SEC pursuant to our S-1 filing on September 18, 2025.</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February 10, 2026, the Company delivered purchase notices for and issued 20,000 shares of common stock to New Circle at a settlement price of $0.26 per share. This resulted in gross proceeds to the Company of $5,164. The securities were sold under the exemption from registration under the Securities Act in reliance upon Section 4(a)(2) of the Securities Act and/or Regulation D promulgated thereunder as a transaction by an issuer not involving any public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Entry into a Material Definitive Agreement</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May 7, 2026, the Company entered into a Side Letter Agreement (the “Side Letter”) with White Lion Capital, LLC (“White Lion”), which amends that certain Note Purchase Agreement, dated April 17, 2026, by and between the Company and White Lion (the “Note Purchase Agreement”). The Note Purchase Agreement provides for the purchase and sale of senior secured convertible promissory notes of the Company in an aggregate principal amount of up to $2,875,000, convertible into shares of common stock, $0.0001 par value per share, of the Company. The Company previously reported the Note Purchase Agreement on a Current Report on Form 8-K filed with the Securities and Exchange Commission on April 17,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Side Letter amends the Note Purchase Agreement as follows:</w:t>
      </w:r>
    </w:p>
    <w:p>
      <w:pPr>
        <w:spacing w:after="0" w:line="22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Acceleration of Required Subsequent Closing Dates. </w:t>
      </w:r>
      <w:r>
        <w:rPr>
          <w:rFonts w:ascii="Times New Roman" w:cs="Times New Roman" w:eastAsia="Times New Roman" w:hAnsi="Times New Roman"/>
          <w:sz w:val="18"/>
          <w:szCs w:val="18"/>
          <w:color w:val="auto"/>
        </w:rPr>
        <w:t>Under the Note Purchase Agreement, the parties are required to consummate a second closing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Required Subsequent Closing”) and a third closing (the “Second Required Subsequent Closing”) on specified dates, subject to satisfaction of certain conditions. The Side Letter provides that White Lion may accelerate each of the First Required Subsequent Closing date and the Second Required Subsequent Closing date to any earlier date at its sole discretion upon written notice to the Company, which written notice may be delivered via email. All references in the Note Purchase Agreement to such closing dates are deemed to refer to such accelerated date, as applicable.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Delivery of Payments. </w:t>
      </w:r>
      <w:r>
        <w:rPr>
          <w:rFonts w:ascii="Times New Roman" w:cs="Times New Roman" w:eastAsia="Times New Roman" w:hAnsi="Times New Roman"/>
          <w:sz w:val="18"/>
          <w:szCs w:val="18"/>
          <w:color w:val="auto"/>
        </w:rPr>
        <w:t>The Note Purchase Agreement provides that, on each closing date, White Lion is required to deliver the funding amount of</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$230,000 (the “Funding Amount”). The Side Letter modifies this payment mechanism as follows: unless otherwise subsequently agreed in writing by the parties, (i) payment of the Funding Amount for the First Required Subsequent Closing shall be made directly to the Company, in accordance with the Company’s written wiring instructions, and (ii) thereafter, payment of the Funding Amount for the Second Required Subsequent Closing and any additional optional subsequent closings shall be made directly to J.J. Astor &amp; Co. (“J.J. Astor”), in accordance with J.J. Astor’s written wiring instructions, until all amounts outstanding under the senior secured convertible notes previously issued by the Company to J.J. Astor (the “J.J. Astor Notes”) are paid in full. Except as modified and amended by the Side Letter, all of the terms and conditions of the Note Purchase Agreement remain in full force and effect.</w:t>
      </w:r>
    </w:p>
    <w:p>
      <w:pPr>
        <w:spacing w:after="0" w:line="19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Side Letter does not purport to be complete and is qualified in its entirety by reference to the full text of the Side Letter, a copy of which is filed as Exhibit 10.2 to this Quarterly Report on Form 10-Q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of a Material Definitive Agreement</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May 8, 2026, the Company terminated its standby equity purchase agreement (equity line of credit) (the “SEPA”) with New Circle Principal Investment LLC (“New Circle”), which had previously provided the Company with the right, but not the obligation, to sell shares of its common stock to New Circle from time to time, subject to customary conditions and limitations. The Company terminated the SEPA as part of a shift in its financing strategy. The termination was effected by notice permitted under the SEPA. Following the termination, neither the Company nor New Circle has any further right to require purchases of the Company’s common stock under the SEPA after the termination date, and the SEPA otherwise ceased to be of further force and effect, except for those provisions that expressly survive termination. No termination fee or penalty was payable by the Company in connection with the termination.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Creation of a Direct Financial Obligation or an Obligation under an Off-Balance Sheet Arrangement of a Registrant.</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May 7, 2026, the Company completed the First Required Subsequent Closing and issued and sold to White Lion a senior secured convertible promissory note (the “Note”) in the face amount of $287,500 for cash proceeds of $230,000, reflecting a 20% original issue discount, pursuant to the Note Purchase Agreement. Pursuant to the Side Letter, the proceeds of the First Required Subsequent Closing were paid directly to the Company.</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Note bears interest at 8% per annum, and the interest for the first six months accrues immediately and is guaranteed. The Note matures on the six-month anniversary of the issue date.</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Note is convertible, at the option of White Lion, into shares of the Company’s common stock, par value $0.0001 per share (the “Common Stock”), at a variable conversion price equal to 80% of the lowest daily volume-weighted average price of the Common Stock during the fifteen trading day period ending on the latest complete trading day prior to the applicable conversion date.</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no event shall White Lion be entitled to convert any portion of the Note to the extent that such conversion would result in White Lion and its affiliates beneficially owning in excess of 4.99% of the outstanding shares of Common Stock, provided that White Lion may increase the ownership limitation up to 9.99% upon sixty-one days’ prior written notice to the Company.</w:t>
      </w:r>
    </w:p>
    <w:p>
      <w:pPr>
        <w:spacing w:after="0" w:line="17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Note is a second senior secured obligation of the Company, secured by all of the assets, personal property of every kind, intellectual property, claims, products and proceeds of the Company. The Note is subject to a second priority lien on the collateral, behind the first priority lien held by J.J. Astor &amp; Co. pursuant to that certain Loan Agreement dated December 4, 2025.</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Note contains customary events of default, including, among others, failure to pay principal or interest when due, failure to honor conversion obligations, breach of covenants or representations and warranties under the Note or certain other transaction documents, appointment of a receiver or trustee, bankruptcy proceedings, delisting of the Common Stock from Nasdaq, failure to comply with reporting requirements under the Securities Exchange Act of 1934, as amended, and cross-defaults with other agreements between the parties. Upon an event of default, the Note becomes immediately due and payable, and White Lion may, at its option, convert the Note at a default conversion price of $0.01 per share.</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may prepay the Note at any time without the prior written consent of White Lion for an amount equal to the original principal amount (or the default amount, as applicable), less all payments previously made, plus accrued and unpaid interest (including guaranteed interest), plus all other amounts, costs, expenses, and liquidated damages due under the Note.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information set forth under “Creation of a Direct Financial Obligation or an Obligation under an Off-Balance Sheet Arrangement of a Registrant” is incorporated herein by reference.</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described above, on May 7, 2026, the Company issued the Note described above to White Lion with an original principal amount of $287,500. The Note is convertible into shares of Common Stock in accordance with its terms, as described above.</w:t>
      </w:r>
    </w:p>
    <w:p>
      <w:pPr>
        <w:spacing w:after="0" w:line="162"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On May 6, 2026, in connection with the Common Stock Purchase Agreement dated April 17, 2026, the Company issued to White Lion an aggregate of 626,305 shares of its common stock (the “Commitment Shares”) as consideration for White Lion’s execution and performance of the Common Stock Purchase Agreement. The number of Commitment Shares was calculated in accordance with the agreement as a commitment fee amount of $120,000 divided by the closing price of the Company’s common stock on the trading day immediately preceding the applicable determination date.</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Note and securities issued in connection with the First Required Subsequent Closing and the Commitment Shares were not registered under the Securities Act of 1933, as amended (the “Securities Act”) and were issued in reliance upon the exemption from registration provided by Section 4(a)(2) of the Securities Act of 1933, as amended or Regulation D promulgated thereunder as a transaction by an issuer not involving any public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Arrangements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our last fiscal quarter, no director or officer, as defined in Rule 16a-1(f), adopted or terminated a “Rule 10b5-1 trading arrangement” or a “non-Rule 10b5-1 trading arrangement,” each as defined in Item 408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Auditor Update</w:t>
      </w:r>
    </w:p>
    <w:p>
      <w:pPr>
        <w:spacing w:after="0" w:line="229"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The Company was notified that Carr, Riggs &amp; Ingram, L.L.C. (“CRI”) acquired, effective as of January 1, 2026, certain assets related to the capital markets practice of Berkowitz Pollack Brant Advisors + CPAs, LLP (“BPB”). On January 13, 2026, the Audit Committee of the Company’s Board of Directors simultaneously dismissed BPB as the Company’s independent registered public accounting firm and approved the appointment of CRI as the Company’s new independent registered public accounting firm. BPB’s audit report on SEE ID, Inc. dba Dot Ai’s condensed consolidated financial statements for the fiscal year ended December 31, 2024 contained no adverse opinion or disclaimer and was not qualified, except for an explanatory paragraph regarding substantial doubt about SEE ID’s ability to continue as a going concern prior to the business combination. During the relevant periods, there were no disagreements or reportable events with BPB, other than previously disclosed material weaknesses in internal control over financial reporting.</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8"/>
        </w:trPr>
        <w:tc>
          <w:tcPr>
            <w:tcW w:w="1016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080" w:type="dxa"/>
            <w:vAlign w:val="bottom"/>
          </w:tcPr>
          <w:p>
            <w:pPr>
              <w:spacing w:after="0"/>
              <w:rPr>
                <w:sz w:val="20"/>
                <w:szCs w:val="20"/>
                <w:color w:val="auto"/>
              </w:rPr>
            </w:pPr>
          </w:p>
        </w:tc>
      </w:tr>
      <w:tr>
        <w:trPr>
          <w:trHeight w:val="432"/>
        </w:trPr>
        <w:tc>
          <w:tcPr>
            <w:tcW w:w="1016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tc>
        <w:tc>
          <w:tcPr>
            <w:tcW w:w="1080" w:type="dxa"/>
            <w:vAlign w:val="bottom"/>
          </w:tcPr>
          <w:p>
            <w:pPr>
              <w:spacing w:after="0"/>
              <w:rPr>
                <w:sz w:val="24"/>
                <w:szCs w:val="24"/>
                <w:color w:val="auto"/>
              </w:rPr>
            </w:pPr>
          </w:p>
        </w:tc>
      </w:tr>
      <w:tr>
        <w:trPr>
          <w:trHeight w:val="410"/>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r>
      <w:tr>
        <w:trPr>
          <w:trHeight w:val="245"/>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40" w:type="dxa"/>
            <w:vAlign w:val="bottom"/>
            <w:gridSpan w:val="22"/>
          </w:tcPr>
          <w:p>
            <w:pPr>
              <w:ind w:left="2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By Reference</w:t>
            </w:r>
          </w:p>
        </w:tc>
      </w:tr>
      <w:tr>
        <w:trPr>
          <w:trHeight w:val="176"/>
        </w:trPr>
        <w:tc>
          <w:tcPr>
            <w:tcW w:w="100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0000EE"/>
            </w:tcBorders>
            <w:shd w:val="clear" w:color="auto" w:fill="CCEEFF"/>
          </w:tcPr>
          <w:p>
            <w:pPr>
              <w:spacing w:after="0"/>
              <w:rPr>
                <w:sz w:val="15"/>
                <w:szCs w:val="15"/>
                <w:color w:val="auto"/>
              </w:rPr>
            </w:pPr>
          </w:p>
        </w:tc>
        <w:tc>
          <w:tcPr>
            <w:tcW w:w="8040" w:type="dxa"/>
            <w:vAlign w:val="bottom"/>
            <w:tcBorders>
              <w:top w:val="single" w:sz="8" w:color="auto"/>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Business Combination Agreement by and among ShoulderUp Technology Acquisition Corp., CID Holdco, Inc.,</w:t>
              </w:r>
            </w:hyperlink>
          </w:p>
        </w:tc>
        <w:tc>
          <w:tcPr>
            <w:tcW w:w="900" w:type="dxa"/>
            <w:vAlign w:val="bottom"/>
            <w:tcBorders>
              <w:top w:val="single" w:sz="8" w:color="auto"/>
              <w:bottom w:val="single" w:sz="8" w:color="CCEEFF"/>
            </w:tcBorders>
            <w:gridSpan w:val="14"/>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Incorporated</w:t>
            </w:r>
          </w:p>
        </w:tc>
      </w:tr>
      <w:tr>
        <w:trPr>
          <w:trHeight w:val="196"/>
        </w:trPr>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60" w:type="dxa"/>
            <w:vAlign w:val="bottom"/>
            <w:gridSpan w:val="29"/>
            <w:shd w:val="clear" w:color="auto" w:fill="CCEEFF"/>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ShoulderUp Merger Sub, Inc., SEI Merger Sub, Inc., and SEE ID, Inc., dated as of March 18, 2024 (incorporated by</w:t>
              </w:r>
            </w:hyperlink>
          </w:p>
        </w:tc>
        <w:tc>
          <w:tcPr>
            <w:tcW w:w="108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by reference.</w:t>
            </w:r>
          </w:p>
        </w:tc>
      </w:tr>
      <w:tr>
        <w:trPr>
          <w:trHeight w:val="20"/>
        </w:trPr>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r>
      <w:tr>
        <w:trPr>
          <w:trHeight w:val="196"/>
        </w:trPr>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8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reference to Exhibit 2.1 of CID Holdco, Inc.’s Registration Statement on Form S-4, filed with the SEC on January 15,</w:t>
              </w:r>
            </w:hyperlink>
          </w:p>
        </w:tc>
        <w:tc>
          <w:tcPr>
            <w:tcW w:w="580" w:type="dxa"/>
            <w:vAlign w:val="bottom"/>
            <w:tcBorders>
              <w:bottom w:val="single" w:sz="8" w:color="CCEEFF"/>
            </w:tcBorders>
            <w:gridSpan w:val="12"/>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r>
      <w:tr>
        <w:trPr>
          <w:trHeight w:val="196"/>
        </w:trPr>
        <w:tc>
          <w:tcPr>
            <w:tcW w:w="1000" w:type="dxa"/>
            <w:vAlign w:val="bottom"/>
            <w:shd w:val="clear" w:color="auto" w:fill="CCEEFF"/>
          </w:tcPr>
          <w:p>
            <w:pPr>
              <w:spacing w:after="0"/>
              <w:rPr>
                <w:sz w:val="17"/>
                <w:szCs w:val="17"/>
                <w:color w:val="auto"/>
              </w:rPr>
            </w:pPr>
          </w:p>
        </w:tc>
        <w:tc>
          <w:tcPr>
            <w:tcW w:w="840" w:type="dxa"/>
            <w:vAlign w:val="bottom"/>
            <w:gridSpan w:val="5"/>
            <w:shd w:val="clear" w:color="auto" w:fill="CCEEFF"/>
          </w:tcPr>
          <w:p>
            <w:pPr>
              <w:ind w:left="100"/>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2025).</w:t>
              </w:r>
            </w:hyperlink>
          </w:p>
        </w:tc>
        <w:tc>
          <w:tcPr>
            <w:tcW w:w="1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5"/>
                <w:szCs w:val="15"/>
                <w:color w:val="auto"/>
              </w:rPr>
            </w:pPr>
          </w:p>
        </w:tc>
        <w:tc>
          <w:tcPr>
            <w:tcW w:w="8740" w:type="dxa"/>
            <w:vAlign w:val="bottom"/>
            <w:tcBorders>
              <w:bottom w:val="single" w:sz="8" w:color="0000EE"/>
            </w:tcBorders>
            <w:gridSpan w:val="23"/>
          </w:tcPr>
          <w:p>
            <w:pPr>
              <w:spacing w:after="0" w:line="17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Amended and Restated Certificate of Incorporation of CID Holdco, Inc. (incorporated by reference to Exhibit 3.1 of CID</w:t>
              </w:r>
            </w:hyperlink>
          </w:p>
        </w:tc>
        <w:tc>
          <w:tcPr>
            <w:tcW w:w="320" w:type="dxa"/>
            <w:vAlign w:val="bottom"/>
            <w:gridSpan w:val="6"/>
          </w:tcPr>
          <w:p>
            <w:pPr>
              <w:spacing w:after="0"/>
              <w:rPr>
                <w:sz w:val="15"/>
                <w:szCs w:val="15"/>
                <w:color w:val="auto"/>
              </w:rPr>
            </w:pPr>
          </w:p>
        </w:tc>
        <w:tc>
          <w:tcPr>
            <w:tcW w:w="10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Incorporated</w:t>
            </w: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60" w:type="dxa"/>
            <w:vAlign w:val="bottom"/>
            <w:gridSpan w:val="29"/>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Holdco, Inc.’s Current Report on Form 8-K, filed with the SEC on June 26, 2025).</w:t>
              </w:r>
            </w:hyperlink>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by reference.</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6"/>
        </w:trPr>
        <w:tc>
          <w:tcPr>
            <w:tcW w:w="10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5"/>
                <w:szCs w:val="15"/>
                <w:color w:val="auto"/>
              </w:rPr>
            </w:pPr>
          </w:p>
        </w:tc>
        <w:tc>
          <w:tcPr>
            <w:tcW w:w="906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Bylaws of CID Holdco, Inc. (incorporated by reference to Exhibit 3.2 of CID Holdco, Inc.’s Current Report on Form 8-K,</w:t>
              </w:r>
            </w:hyperlink>
          </w:p>
        </w:tc>
        <w:tc>
          <w:tcPr>
            <w:tcW w:w="10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Incorporated</w:t>
            </w:r>
          </w:p>
        </w:tc>
      </w:tr>
      <w:tr>
        <w:trPr>
          <w:trHeight w:val="196"/>
        </w:trPr>
        <w:tc>
          <w:tcPr>
            <w:tcW w:w="10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780" w:type="dxa"/>
            <w:vAlign w:val="bottom"/>
            <w:tcBorders>
              <w:top w:val="single" w:sz="8" w:color="0000EE"/>
            </w:tcBorders>
            <w:gridSpan w:val="25"/>
            <w:shd w:val="clear" w:color="auto" w:fill="CCEEFF"/>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filed with the SEC on June 26, 2025).</w:t>
              </w:r>
            </w:hyperlink>
          </w:p>
        </w:tc>
        <w:tc>
          <w:tcPr>
            <w:tcW w:w="280" w:type="dxa"/>
            <w:vAlign w:val="bottom"/>
            <w:tcBorders>
              <w:top w:val="single" w:sz="8" w:color="CCEEFF"/>
            </w:tcBorders>
            <w:gridSpan w:val="4"/>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by reference.</w:t>
            </w:r>
          </w:p>
        </w:tc>
      </w:tr>
      <w:tr>
        <w:trPr>
          <w:trHeight w:val="21"/>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5"/>
                <w:szCs w:val="15"/>
                <w:color w:val="auto"/>
              </w:rPr>
            </w:pPr>
          </w:p>
        </w:tc>
        <w:tc>
          <w:tcPr>
            <w:tcW w:w="9060" w:type="dxa"/>
            <w:vAlign w:val="bottom"/>
            <w:gridSpan w:val="29"/>
          </w:tcPr>
          <w:p>
            <w:pPr>
              <w:spacing w:after="0" w:line="17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Specimen Common Stock Certificate (incorporated by reference to Exhibit 4.5 of CID Holdco, Inc.’s Registration</w:t>
              </w:r>
            </w:hyperlink>
          </w:p>
        </w:tc>
        <w:tc>
          <w:tcPr>
            <w:tcW w:w="10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Incorporated</w:t>
            </w: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Statement on Form S-4, filed with the SEC on January 15, 2025).</w:t>
              </w:r>
            </w:hyperlink>
          </w:p>
        </w:tc>
        <w:tc>
          <w:tcPr>
            <w:tcW w:w="860" w:type="dxa"/>
            <w:vAlign w:val="bottom"/>
            <w:gridSpan w:val="14"/>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by reference.</w:t>
            </w:r>
          </w:p>
        </w:tc>
      </w:tr>
      <w:tr>
        <w:trPr>
          <w:trHeight w:val="21"/>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6"/>
        </w:trPr>
        <w:tc>
          <w:tcPr>
            <w:tcW w:w="10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5"/>
                <w:szCs w:val="15"/>
                <w:color w:val="auto"/>
              </w:rPr>
            </w:pPr>
          </w:p>
        </w:tc>
        <w:tc>
          <w:tcPr>
            <w:tcW w:w="906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Specimen Warrant Certificate (incorporated by reference to Exhibit 4.6 of CID Holdco, Inc.’s Registration Statement on</w:t>
              </w:r>
            </w:hyperlink>
          </w:p>
        </w:tc>
        <w:tc>
          <w:tcPr>
            <w:tcW w:w="10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Incorporated</w:t>
            </w:r>
          </w:p>
        </w:tc>
      </w:tr>
      <w:tr>
        <w:trPr>
          <w:trHeight w:val="196"/>
        </w:trPr>
        <w:tc>
          <w:tcPr>
            <w:tcW w:w="10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40" w:type="dxa"/>
            <w:vAlign w:val="bottom"/>
            <w:tcBorders>
              <w:top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Form S-4, filed with the SEC on January 15, 2025).</w:t>
              </w:r>
            </w:hyperlink>
          </w:p>
        </w:tc>
        <w:tc>
          <w:tcPr>
            <w:tcW w:w="420" w:type="dxa"/>
            <w:vAlign w:val="bottom"/>
            <w:tcBorders>
              <w:top w:val="single" w:sz="8" w:color="CCEEFF"/>
            </w:tcBorders>
            <w:gridSpan w:val="10"/>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by reference.</w:t>
            </w:r>
          </w:p>
        </w:tc>
      </w:tr>
      <w:tr>
        <w:trPr>
          <w:trHeight w:val="20"/>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5"/>
                <w:szCs w:val="15"/>
                <w:color w:val="auto"/>
              </w:rPr>
            </w:pPr>
          </w:p>
        </w:tc>
        <w:tc>
          <w:tcPr>
            <w:tcW w:w="8660" w:type="dxa"/>
            <w:vAlign w:val="bottom"/>
            <w:tcBorders>
              <w:bottom w:val="single" w:sz="8" w:color="0000EE"/>
            </w:tcBorders>
            <w:gridSpan w:val="20"/>
          </w:tcPr>
          <w:p>
            <w:pPr>
              <w:spacing w:after="0" w:line="17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Existing Warrant Agreement, dated November 16, 2021, by and between ShoulderUp Technology Acquisition Corp and</w:t>
              </w:r>
            </w:hyperlink>
          </w:p>
        </w:tc>
        <w:tc>
          <w:tcPr>
            <w:tcW w:w="400" w:type="dxa"/>
            <w:vAlign w:val="bottom"/>
            <w:gridSpan w:val="9"/>
          </w:tcPr>
          <w:p>
            <w:pPr>
              <w:spacing w:after="0"/>
              <w:rPr>
                <w:sz w:val="15"/>
                <w:szCs w:val="15"/>
                <w:color w:val="auto"/>
              </w:rPr>
            </w:pPr>
          </w:p>
        </w:tc>
        <w:tc>
          <w:tcPr>
            <w:tcW w:w="10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Incorporated</w:t>
            </w: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60" w:type="dxa"/>
            <w:vAlign w:val="bottom"/>
            <w:gridSpan w:val="29"/>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Continental Stock Transfer &amp; Trust Company, as warrant agent (incorporated by reference to Exhibit 4.4 of CID Holdco,</w:t>
              </w:r>
            </w:hyperlink>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by reference.</w:t>
            </w: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0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Inc.’s Registration Statement on Form S-4, filed with the SEC on January 15, 2025).</w:t>
              </w:r>
            </w:hyperlink>
          </w:p>
        </w:tc>
        <w:tc>
          <w:tcPr>
            <w:tcW w:w="360" w:type="dxa"/>
            <w:vAlign w:val="bottom"/>
            <w:gridSpan w:val="8"/>
          </w:tcPr>
          <w:p>
            <w:pPr>
              <w:spacing w:after="0"/>
              <w:rPr>
                <w:sz w:val="17"/>
                <w:szCs w:val="17"/>
                <w:color w:val="auto"/>
              </w:rPr>
            </w:pPr>
          </w:p>
        </w:tc>
        <w:tc>
          <w:tcPr>
            <w:tcW w:w="1080" w:type="dxa"/>
            <w:vAlign w:val="bottom"/>
          </w:tcPr>
          <w:p>
            <w:pPr>
              <w:spacing w:after="0"/>
              <w:rPr>
                <w:sz w:val="17"/>
                <w:szCs w:val="17"/>
                <w:color w:val="auto"/>
              </w:rPr>
            </w:pPr>
          </w:p>
        </w:tc>
      </w:tr>
      <w:tr>
        <w:trPr>
          <w:trHeight w:val="21"/>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5"/>
        </w:trPr>
        <w:tc>
          <w:tcPr>
            <w:tcW w:w="10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5"/>
                <w:szCs w:val="15"/>
                <w:color w:val="auto"/>
              </w:rPr>
            </w:pPr>
          </w:p>
        </w:tc>
        <w:tc>
          <w:tcPr>
            <w:tcW w:w="906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Warrant Assumption and Assignment Agreement, dated as of June 18, 2025 (incorporated by reference to Exhibit 4.4 of</w:t>
              </w:r>
            </w:hyperlink>
          </w:p>
        </w:tc>
        <w:tc>
          <w:tcPr>
            <w:tcW w:w="10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Incorporated</w:t>
            </w:r>
          </w:p>
        </w:tc>
      </w:tr>
      <w:tr>
        <w:trPr>
          <w:trHeight w:val="196"/>
        </w:trPr>
        <w:tc>
          <w:tcPr>
            <w:tcW w:w="10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40" w:type="dxa"/>
            <w:vAlign w:val="bottom"/>
            <w:tcBorders>
              <w:top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CID Holdco, Inc.’s Current Report on Form 8-K, filed with the SEC on June 26, 2025).</w:t>
              </w:r>
            </w:hyperlink>
          </w:p>
        </w:tc>
        <w:tc>
          <w:tcPr>
            <w:tcW w:w="420" w:type="dxa"/>
            <w:vAlign w:val="bottom"/>
            <w:tcBorders>
              <w:top w:val="single" w:sz="8" w:color="CCEEFF"/>
            </w:tcBorders>
            <w:gridSpan w:val="10"/>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by reference.</w:t>
            </w:r>
          </w:p>
        </w:tc>
      </w:tr>
      <w:tr>
        <w:trPr>
          <w:trHeight w:val="20"/>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5"/>
                <w:szCs w:val="15"/>
                <w:color w:val="auto"/>
              </w:rPr>
            </w:pPr>
          </w:p>
        </w:tc>
        <w:tc>
          <w:tcPr>
            <w:tcW w:w="8940" w:type="dxa"/>
            <w:vAlign w:val="bottom"/>
            <w:tcBorders>
              <w:bottom w:val="single" w:sz="8" w:color="0000EE"/>
            </w:tcBorders>
            <w:gridSpan w:val="27"/>
          </w:tcPr>
          <w:p>
            <w:pPr>
              <w:spacing w:after="0" w:line="17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Common Stock Purchase Warrant, issued April 17, 2026, by CID Holdco, Inc. to White Lion Capital, LLC (incorporated by</w:t>
              </w:r>
            </w:hyperlink>
          </w:p>
        </w:tc>
        <w:tc>
          <w:tcPr>
            <w:tcW w:w="120" w:type="dxa"/>
            <w:vAlign w:val="bottom"/>
            <w:gridSpan w:val="2"/>
          </w:tcPr>
          <w:p>
            <w:pPr>
              <w:spacing w:after="0"/>
              <w:rPr>
                <w:sz w:val="15"/>
                <w:szCs w:val="15"/>
                <w:color w:val="auto"/>
              </w:rPr>
            </w:pPr>
          </w:p>
        </w:tc>
        <w:tc>
          <w:tcPr>
            <w:tcW w:w="10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Incorporated</w:t>
            </w: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reference to Exhibit 4.1 to the Company’s Current Report on Form 8-K (File No. 001-42711) filed with the SEC on April</w:t>
              </w:r>
            </w:hyperlink>
          </w:p>
        </w:tc>
        <w:tc>
          <w:tcPr>
            <w:tcW w:w="320" w:type="dxa"/>
            <w:vAlign w:val="bottom"/>
            <w:gridSpan w:val="6"/>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by reference.</w:t>
            </w:r>
          </w:p>
        </w:tc>
      </w:tr>
      <w:tr>
        <w:trPr>
          <w:trHeight w:val="196"/>
        </w:trPr>
        <w:tc>
          <w:tcPr>
            <w:tcW w:w="1000" w:type="dxa"/>
            <w:vAlign w:val="bottom"/>
          </w:tcPr>
          <w:p>
            <w:pPr>
              <w:spacing w:after="0"/>
              <w:rPr>
                <w:sz w:val="17"/>
                <w:szCs w:val="17"/>
                <w:color w:val="auto"/>
              </w:rPr>
            </w:pPr>
          </w:p>
        </w:tc>
        <w:tc>
          <w:tcPr>
            <w:tcW w:w="2160" w:type="dxa"/>
            <w:vAlign w:val="bottom"/>
            <w:gridSpan w:val="6"/>
          </w:tcPr>
          <w:p>
            <w:pPr>
              <w:ind w:left="100"/>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20, 2026).</w:t>
              </w:r>
            </w:hyperlink>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5"/>
        </w:trPr>
        <w:tc>
          <w:tcPr>
            <w:tcW w:w="10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15"/>
                <w:szCs w:val="15"/>
                <w:color w:val="auto"/>
              </w:rPr>
            </w:pPr>
          </w:p>
        </w:tc>
        <w:tc>
          <w:tcPr>
            <w:tcW w:w="8760" w:type="dxa"/>
            <w:vAlign w:val="bottom"/>
            <w:tcBorders>
              <w:bottom w:val="single" w:sz="8" w:color="0000EE"/>
            </w:tcBorders>
            <w:gridSpan w:val="24"/>
            <w:shd w:val="clear" w:color="auto" w:fill="CCEEFF"/>
          </w:tcPr>
          <w:p>
            <w:pPr>
              <w:spacing w:after="0" w:line="17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Form of Securities Purchase Agreement, by and between CID Holdco, Inc. and the purchasers party thereto (incorporated</w:t>
              </w:r>
            </w:hyperlink>
          </w:p>
        </w:tc>
        <w:tc>
          <w:tcPr>
            <w:tcW w:w="300" w:type="dxa"/>
            <w:vAlign w:val="bottom"/>
            <w:tcBorders>
              <w:bottom w:val="single" w:sz="8" w:color="CCEEFF"/>
            </w:tcBorders>
            <w:gridSpan w:val="5"/>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Incorporated</w:t>
            </w:r>
          </w:p>
        </w:tc>
      </w:tr>
      <w:tr>
        <w:trPr>
          <w:trHeight w:val="196"/>
        </w:trPr>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500" w:type="dxa"/>
            <w:vAlign w:val="bottom"/>
            <w:tcBorders>
              <w:bottom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by reference to Exhibit 10.8 to the Company’s Registration Statement on Form S-1, filed with the SEC on January 29,</w:t>
              </w:r>
            </w:hyperlink>
          </w:p>
        </w:tc>
        <w:tc>
          <w:tcPr>
            <w:tcW w:w="560" w:type="dxa"/>
            <w:vAlign w:val="bottom"/>
            <w:tcBorders>
              <w:bottom w:val="single" w:sz="8" w:color="CCEEFF"/>
            </w:tcBorders>
            <w:gridSpan w:val="11"/>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by reference.</w:t>
            </w:r>
          </w:p>
        </w:tc>
      </w:tr>
      <w:tr>
        <w:trPr>
          <w:trHeight w:val="196"/>
        </w:trPr>
        <w:tc>
          <w:tcPr>
            <w:tcW w:w="1000" w:type="dxa"/>
            <w:vAlign w:val="bottom"/>
            <w:shd w:val="clear" w:color="auto" w:fill="CCEEFF"/>
          </w:tcPr>
          <w:p>
            <w:pPr>
              <w:spacing w:after="0"/>
              <w:rPr>
                <w:sz w:val="17"/>
                <w:szCs w:val="17"/>
                <w:color w:val="auto"/>
              </w:rPr>
            </w:pPr>
          </w:p>
        </w:tc>
        <w:tc>
          <w:tcPr>
            <w:tcW w:w="520" w:type="dxa"/>
            <w:vAlign w:val="bottom"/>
            <w:gridSpan w:val="3"/>
            <w:shd w:val="clear" w:color="auto" w:fill="CCEEFF"/>
          </w:tcPr>
          <w:p>
            <w:pPr>
              <w:ind w:left="100"/>
              <w:spacing w:after="0" w:line="196" w:lineRule="exact"/>
              <w:rPr>
                <w:rFonts w:ascii="Times New Roman" w:cs="Times New Roman" w:eastAsia="Times New Roman" w:hAnsi="Times New Roman"/>
                <w:sz w:val="18"/>
                <w:szCs w:val="18"/>
                <w:color w:val="0000EE"/>
                <w:w w:val="95"/>
              </w:rPr>
            </w:pPr>
            <w:hyperlink r:id="rId68">
              <w:r>
                <w:rPr>
                  <w:rFonts w:ascii="Times New Roman" w:cs="Times New Roman" w:eastAsia="Times New Roman" w:hAnsi="Times New Roman"/>
                  <w:sz w:val="18"/>
                  <w:szCs w:val="18"/>
                  <w:color w:val="0000EE"/>
                  <w:w w:val="95"/>
                </w:rPr>
                <w:t>2026)</w:t>
              </w:r>
            </w:hyperlink>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5"/>
                <w:szCs w:val="15"/>
                <w:color w:val="auto"/>
              </w:rPr>
            </w:pPr>
          </w:p>
        </w:tc>
        <w:tc>
          <w:tcPr>
            <w:tcW w:w="90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Side Letter Agreement, dated May 7, 2026, by and between CID HoldCo, Inc. and White Lion Capital, LLC</w:t>
            </w:r>
          </w:p>
        </w:tc>
        <w:tc>
          <w:tcPr>
            <w:tcW w:w="10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Filed</w:t>
            </w:r>
          </w:p>
        </w:tc>
      </w:tr>
      <w:tr>
        <w:trPr>
          <w:trHeight w:val="236"/>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320" w:type="dxa"/>
            <w:vAlign w:val="bottom"/>
            <w:tcBorders>
              <w:top w:val="single" w:sz="8" w:color="0000EE"/>
            </w:tcBorders>
          </w:tcPr>
          <w:p>
            <w:pPr>
              <w:spacing w:after="0"/>
              <w:rPr>
                <w:sz w:val="20"/>
                <w:szCs w:val="20"/>
                <w:color w:val="auto"/>
              </w:rPr>
            </w:pPr>
          </w:p>
        </w:tc>
        <w:tc>
          <w:tcPr>
            <w:tcW w:w="66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980" w:type="dxa"/>
            <w:vAlign w:val="bottom"/>
            <w:tcBorders>
              <w:top w:val="single" w:sz="8" w:color="0000EE"/>
            </w:tcBorders>
          </w:tcPr>
          <w:p>
            <w:pPr>
              <w:spacing w:after="0"/>
              <w:rPr>
                <w:sz w:val="20"/>
                <w:szCs w:val="20"/>
                <w:color w:val="auto"/>
              </w:rPr>
            </w:pPr>
          </w:p>
        </w:tc>
        <w:tc>
          <w:tcPr>
            <w:tcW w:w="12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520" w:type="dxa"/>
            <w:vAlign w:val="bottom"/>
            <w:tcBorders>
              <w:top w:val="single" w:sz="8" w:color="0000EE"/>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herewith.</w:t>
            </w:r>
          </w:p>
        </w:tc>
      </w:tr>
      <w:tr>
        <w:trPr>
          <w:trHeight w:val="176"/>
        </w:trPr>
        <w:tc>
          <w:tcPr>
            <w:tcW w:w="10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CEEFF"/>
            </w:tcBorders>
            <w:shd w:val="clear" w:color="auto" w:fill="CCEEFF"/>
          </w:tcPr>
          <w:p>
            <w:pPr>
              <w:spacing w:after="0"/>
              <w:rPr>
                <w:sz w:val="15"/>
                <w:szCs w:val="15"/>
                <w:color w:val="auto"/>
              </w:rPr>
            </w:pPr>
          </w:p>
        </w:tc>
        <w:tc>
          <w:tcPr>
            <w:tcW w:w="872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Pursuant to Securities Exchange Act Rules 13a-14(a), as adopted Pursuant to</w:t>
            </w:r>
          </w:p>
        </w:tc>
        <w:tc>
          <w:tcPr>
            <w:tcW w:w="340" w:type="dxa"/>
            <w:vAlign w:val="bottom"/>
            <w:tcBorders>
              <w:bottom w:val="single" w:sz="8" w:color="CCEEFF"/>
            </w:tcBorders>
            <w:gridSpan w:val="7"/>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Filed</w:t>
            </w:r>
          </w:p>
        </w:tc>
      </w:tr>
      <w:tr>
        <w:trPr>
          <w:trHeight w:val="196"/>
        </w:trPr>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60" w:type="dxa"/>
            <w:vAlign w:val="bottom"/>
            <w:gridSpan w:val="2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Section 302 of the Sarbanes-Oxley Act of 2002</w:t>
            </w:r>
          </w:p>
        </w:tc>
        <w:tc>
          <w:tcPr>
            <w:tcW w:w="108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herewith.</w:t>
            </w:r>
          </w:p>
        </w:tc>
      </w:tr>
      <w:tr>
        <w:trPr>
          <w:trHeight w:val="20"/>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5"/>
                <w:szCs w:val="15"/>
                <w:color w:val="auto"/>
              </w:rPr>
            </w:pPr>
          </w:p>
        </w:tc>
        <w:tc>
          <w:tcPr>
            <w:tcW w:w="90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Securities Exchange Act Rules 13a-14(a), as adopted Pursuant to</w:t>
            </w:r>
          </w:p>
        </w:tc>
        <w:tc>
          <w:tcPr>
            <w:tcW w:w="10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Filed</w:t>
            </w: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6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Section 302 of the Sarbanes-Oxley Act of 2002</w:t>
            </w:r>
          </w:p>
        </w:tc>
        <w:tc>
          <w:tcPr>
            <w:tcW w:w="400" w:type="dxa"/>
            <w:vAlign w:val="bottom"/>
            <w:gridSpan w:val="9"/>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herewith.</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5"/>
        </w:trPr>
        <w:tc>
          <w:tcPr>
            <w:tcW w:w="10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5"/>
                <w:szCs w:val="15"/>
                <w:color w:val="auto"/>
              </w:rPr>
            </w:pPr>
          </w:p>
        </w:tc>
        <w:tc>
          <w:tcPr>
            <w:tcW w:w="90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 the</w:t>
            </w:r>
          </w:p>
        </w:tc>
        <w:tc>
          <w:tcPr>
            <w:tcW w:w="10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Furnished.</w:t>
            </w:r>
          </w:p>
        </w:tc>
      </w:tr>
      <w:tr>
        <w:trPr>
          <w:trHeight w:val="196"/>
        </w:trPr>
        <w:tc>
          <w:tcPr>
            <w:tcW w:w="10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0" w:type="dxa"/>
            <w:vAlign w:val="bottom"/>
            <w:tcBorders>
              <w:top w:val="single" w:sz="8" w:color="0000EE"/>
            </w:tcBorders>
            <w:gridSpan w:val="2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260" w:type="dxa"/>
            <w:vAlign w:val="bottom"/>
            <w:tcBorders>
              <w:top w:val="single" w:sz="8" w:color="CCEEFF"/>
            </w:tcBorders>
            <w:gridSpan w:val="3"/>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r>
      <w:tr>
        <w:trPr>
          <w:trHeight w:val="21"/>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5"/>
                <w:szCs w:val="15"/>
                <w:color w:val="auto"/>
              </w:rPr>
            </w:pPr>
          </w:p>
        </w:tc>
        <w:tc>
          <w:tcPr>
            <w:tcW w:w="8760" w:type="dxa"/>
            <w:vAlign w:val="bottom"/>
            <w:tcBorders>
              <w:bottom w:val="single" w:sz="8" w:color="0000EE"/>
            </w:tcBorders>
            <w:gridSpan w:val="24"/>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Principal Financial Officer Pursuant to 18 U.S.C. Section 1350, as adopted Pursuant to Section 906 of the</w:t>
            </w:r>
          </w:p>
        </w:tc>
        <w:tc>
          <w:tcPr>
            <w:tcW w:w="300" w:type="dxa"/>
            <w:vAlign w:val="bottom"/>
            <w:gridSpan w:val="5"/>
          </w:tcPr>
          <w:p>
            <w:pPr>
              <w:spacing w:after="0"/>
              <w:rPr>
                <w:sz w:val="15"/>
                <w:szCs w:val="15"/>
                <w:color w:val="auto"/>
              </w:rPr>
            </w:pPr>
          </w:p>
        </w:tc>
        <w:tc>
          <w:tcPr>
            <w:tcW w:w="10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Furnished.</w:t>
            </w: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108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shd w:val="clear" w:color="auto" w:fill="CCEEFF"/>
          </w:tcPr>
          <w:p>
            <w:pPr>
              <w:spacing w:after="0"/>
              <w:rPr>
                <w:sz w:val="18"/>
                <w:szCs w:val="18"/>
                <w:color w:val="auto"/>
              </w:rPr>
            </w:pPr>
          </w:p>
        </w:tc>
        <w:tc>
          <w:tcPr>
            <w:tcW w:w="906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080" w:type="dxa"/>
            <w:vAlign w:val="bottom"/>
            <w:shd w:val="clear" w:color="auto" w:fill="CCEEFF"/>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18"/>
                <w:szCs w:val="18"/>
                <w:color w:val="auto"/>
              </w:rPr>
            </w:pPr>
          </w:p>
        </w:tc>
        <w:tc>
          <w:tcPr>
            <w:tcW w:w="906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080" w:type="dxa"/>
            <w:vAlign w:val="bottom"/>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shd w:val="clear" w:color="auto" w:fill="CCEEFF"/>
          </w:tcPr>
          <w:p>
            <w:pPr>
              <w:spacing w:after="0"/>
              <w:rPr>
                <w:sz w:val="18"/>
                <w:szCs w:val="18"/>
                <w:color w:val="auto"/>
              </w:rPr>
            </w:pPr>
          </w:p>
        </w:tc>
        <w:tc>
          <w:tcPr>
            <w:tcW w:w="906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1080" w:type="dxa"/>
            <w:vAlign w:val="bottom"/>
            <w:shd w:val="clear" w:color="auto" w:fill="CCEEFF"/>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18"/>
                <w:szCs w:val="18"/>
                <w:color w:val="auto"/>
              </w:rPr>
            </w:pPr>
          </w:p>
        </w:tc>
        <w:tc>
          <w:tcPr>
            <w:tcW w:w="906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080" w:type="dxa"/>
            <w:vAlign w:val="bottom"/>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shd w:val="clear" w:color="auto" w:fill="CCEEFF"/>
          </w:tcPr>
          <w:p>
            <w:pPr>
              <w:spacing w:after="0"/>
              <w:rPr>
                <w:sz w:val="18"/>
                <w:szCs w:val="18"/>
                <w:color w:val="auto"/>
              </w:rPr>
            </w:pPr>
          </w:p>
        </w:tc>
        <w:tc>
          <w:tcPr>
            <w:tcW w:w="906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c>
          <w:tcPr>
            <w:tcW w:w="1080" w:type="dxa"/>
            <w:vAlign w:val="bottom"/>
            <w:shd w:val="clear" w:color="auto" w:fill="CCEEFF"/>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18"/>
                <w:szCs w:val="18"/>
                <w:color w:val="auto"/>
              </w:rPr>
            </w:pPr>
          </w:p>
        </w:tc>
        <w:tc>
          <w:tcPr>
            <w:tcW w:w="906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1080" w:type="dxa"/>
            <w:vAlign w:val="bottom"/>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8"/>
                <w:szCs w:val="18"/>
                <w:color w:val="auto"/>
              </w:rPr>
            </w:pPr>
          </w:p>
        </w:tc>
        <w:tc>
          <w:tcPr>
            <w:tcW w:w="906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0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340" w:right="32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omitted pursuant to Item 601(a)(5) of Regulation S-K. The Company agrees to furnish supplementally to the SEC a copy of any omitted schedule or exhibit upon the request of the SEC in accordance with Item 601(b)(2) of Regulation S-K.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7" w:name="page48"/>
    <w:bookmarkEnd w:id="47"/>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accordance with the requirements of the Exchange Act, the registrant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CID HOLDCO,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Edmund Nabrotzky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Edmund Nabrotzky</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Charles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Charles Maddox</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873" w:right="67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SIDE LETTER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7, 2026</w:t>
      </w:r>
    </w:p>
    <w:p>
      <w:pPr>
        <w:spacing w:after="0" w:line="22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This Side Letter Agreement (this </w:t>
      </w:r>
      <w:r>
        <w:rPr>
          <w:rFonts w:ascii="Times New Roman" w:cs="Times New Roman" w:eastAsia="Times New Roman" w:hAnsi="Times New Roman"/>
          <w:sz w:val="18"/>
          <w:szCs w:val="18"/>
          <w:b w:val="1"/>
          <w:bCs w:val="1"/>
          <w:color w:val="auto"/>
        </w:rPr>
        <w:t>“Side Letter Agreement”</w:t>
      </w:r>
      <w:r>
        <w:rPr>
          <w:rFonts w:ascii="Times New Roman" w:cs="Times New Roman" w:eastAsia="Times New Roman" w:hAnsi="Times New Roman"/>
          <w:sz w:val="18"/>
          <w:szCs w:val="18"/>
          <w:color w:val="auto"/>
        </w:rPr>
        <w:t xml:space="preserve">), dated as of May 7, 2026, is by and between CID Holdco,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White Lion Capital, LLC (</w:t>
      </w:r>
      <w:r>
        <w:rPr>
          <w:rFonts w:ascii="Times New Roman" w:cs="Times New Roman" w:eastAsia="Times New Roman" w:hAnsi="Times New Roman"/>
          <w:sz w:val="18"/>
          <w:szCs w:val="18"/>
          <w:b w:val="1"/>
          <w:bCs w:val="1"/>
          <w:color w:val="auto"/>
        </w:rPr>
        <w:t>“White Lion”</w:t>
      </w:r>
      <w:r>
        <w:rPr>
          <w:rFonts w:ascii="Times New Roman" w:cs="Times New Roman" w:eastAsia="Times New Roman" w:hAnsi="Times New Roman"/>
          <w:sz w:val="18"/>
          <w:szCs w:val="18"/>
          <w:color w:val="auto"/>
        </w:rPr>
        <w:t xml:space="preserve">). The Company and White Lion are collectively referred to herein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Reference is made to that certain Note Purchase Agreement (the </w:t>
      </w:r>
      <w:r>
        <w:rPr>
          <w:rFonts w:ascii="Times New Roman" w:cs="Times New Roman" w:eastAsia="Times New Roman" w:hAnsi="Times New Roman"/>
          <w:sz w:val="18"/>
          <w:szCs w:val="18"/>
          <w:b w:val="1"/>
          <w:bCs w:val="1"/>
          <w:color w:val="auto"/>
        </w:rPr>
        <w:t>“Note Purchase Agreement”</w:t>
      </w:r>
      <w:r>
        <w:rPr>
          <w:rFonts w:ascii="Times New Roman" w:cs="Times New Roman" w:eastAsia="Times New Roman" w:hAnsi="Times New Roman"/>
          <w:sz w:val="18"/>
          <w:szCs w:val="18"/>
          <w:color w:val="auto"/>
        </w:rPr>
        <w:t>), dated April 17, 2026, by and between the Parties.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defined herein shall have the definitions ascribed to them by the Note Purchase Agreement.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consideration of the mutual agreements contained herein, the Parties hereby agree as follows:</w:t>
      </w:r>
    </w:p>
    <w:p>
      <w:pPr>
        <w:spacing w:after="0" w:line="225" w:lineRule="exact"/>
        <w:rPr>
          <w:sz w:val="20"/>
          <w:szCs w:val="20"/>
          <w:color w:val="auto"/>
        </w:rPr>
      </w:pPr>
    </w:p>
    <w:p>
      <w:pPr>
        <w:ind w:firstLine="656"/>
        <w:spacing w:after="0" w:line="282" w:lineRule="auto"/>
        <w:tabs>
          <w:tab w:leader="none" w:pos="84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Note Purchase Agreement</w:t>
      </w:r>
      <w:r>
        <w:rPr>
          <w:rFonts w:ascii="Times New Roman" w:cs="Times New Roman" w:eastAsia="Times New Roman" w:hAnsi="Times New Roman"/>
          <w:sz w:val="18"/>
          <w:szCs w:val="18"/>
          <w:color w:val="auto"/>
        </w:rPr>
        <w:t>. White Lion and the Company acknowledge and agree to the following terms and conditions in addition to those set forth in the Note Purchase Agreement:</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55"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 of the First Required Subsequent Closing Date and Second Required Subsequent Closing Date</w:t>
      </w:r>
      <w:r>
        <w:rPr>
          <w:rFonts w:ascii="Times New Roman" w:cs="Times New Roman" w:eastAsia="Times New Roman" w:hAnsi="Times New Roman"/>
          <w:sz w:val="18"/>
          <w:szCs w:val="18"/>
          <w:color w:val="auto"/>
        </w:rPr>
        <w:t>. Notwithstanding anything to the contrary contained in the Note Purchase Agreement, including, without limitation the provisions of Section 1(b) of the Note Purchase Agreement, and subject to the satisfaction (or written waiver) of the conditions set forth in Section 7 and Section 8 of the Note Purchase Agreement, the Investor may accelerate each of the First Required Subsequent Closing Date and Second Required Subsequent Closing Date to any earlier date at its sole discretion upon written notice to the Company, which written notice may be delivered via email. All references in the Note Purchase Agreement to the First Required Subsequent Closing Date and Second Required Subsequent Closing Date shall be deemed to refer to such accelerated date, as applicable.</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5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Payments</w:t>
      </w:r>
      <w:r>
        <w:rPr>
          <w:rFonts w:ascii="Times New Roman" w:cs="Times New Roman" w:eastAsia="Times New Roman" w:hAnsi="Times New Roman"/>
          <w:sz w:val="18"/>
          <w:szCs w:val="18"/>
          <w:color w:val="auto"/>
        </w:rPr>
        <w:t>. Notwithstanding anything to the contrary contained in the Note Purchase Agreement, including, without limitation the provisions of Section 1(d) of the Note Purchase Agreement, and unless otherwise subsequently agreed in writing by the Parties, (i) payment of the Funding Amount for the First Required Subsequent Closing Date shall be made directly to the Company, in accordance with the Company’s written wiring instructions, and (ii) thereafter, payment of the Funding Amount for the Second Required Subsequent Closing Date and any Optional Subsequent Closing date shall be made directly to J.J. Astor, in accordance with J.J. Astor’s written wiring instructions, until all amounts under the J.J. Astor Notes are paid in full.</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8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Execution</w:t>
      </w:r>
      <w:r>
        <w:rPr>
          <w:rFonts w:ascii="Times New Roman" w:cs="Times New Roman" w:eastAsia="Times New Roman" w:hAnsi="Times New Roman"/>
          <w:sz w:val="18"/>
          <w:szCs w:val="18"/>
          <w:color w:val="auto"/>
        </w:rPr>
        <w:t>. This Side Letter Agreement may be executed in one or more counterparts (including by electronic mail, in PDF or by DocuSign or similar electronic signature), all of which shall be considered one and the same agreement and shall become effective when one or more counterparts have been signed by each of the parties and delivered to the other parties. Counterparts may be delivered via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 w:name="page50"/>
    <w:bookmarkEnd w:id="49"/>
    <w:p>
      <w:pPr>
        <w:jc w:val="both"/>
        <w:ind w:left="-656" w:firstLine="656"/>
        <w:spacing w:after="0" w:line="266" w:lineRule="auto"/>
        <w:tabs>
          <w:tab w:leader="none" w:pos="1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SIDE LETTER AGREEMENT SHALL BE SUBJECT TO THE PROVISIONS REGARDING GOVERNING LAW SET FORTH IN SECTION 9(a) OF THE NOTE PURCHASE AGREEMENT, AND SUCH PROVISIONS ARE INCORPORATED HEREIN BY THIS REFERENCE, MUTATIS MUTANDIS.</w:t>
      </w:r>
    </w:p>
    <w:p>
      <w:pPr>
        <w:spacing w:after="0" w:line="175" w:lineRule="exact"/>
        <w:rPr>
          <w:rFonts w:ascii="Times New Roman" w:cs="Times New Roman" w:eastAsia="Times New Roman" w:hAnsi="Times New Roman"/>
          <w:sz w:val="18"/>
          <w:szCs w:val="18"/>
          <w:color w:val="auto"/>
        </w:rPr>
      </w:pPr>
    </w:p>
    <w:p>
      <w:pPr>
        <w:ind w:left="-656" w:right="20" w:firstLine="656"/>
        <w:spacing w:after="0" w:line="282" w:lineRule="auto"/>
        <w:tabs>
          <w:tab w:leader="none" w:pos="1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of the Note Purchase Agreement.</w:t>
      </w:r>
      <w:r>
        <w:rPr>
          <w:rFonts w:ascii="Times New Roman" w:cs="Times New Roman" w:eastAsia="Times New Roman" w:hAnsi="Times New Roman"/>
          <w:sz w:val="18"/>
          <w:szCs w:val="18"/>
          <w:color w:val="auto"/>
        </w:rPr>
        <w:t xml:space="preserve"> Except as modified and amended herein, all of the terms and conditions of the Note Purchase Agreement shall remain in full force and effect.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WITNESS WHEREOF, the undersigned have executed and delivered this Side Letter Agreement as of the date first above written.</w:t>
      </w:r>
    </w:p>
    <w:p>
      <w:pPr>
        <w:spacing w:after="0" w:line="221"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229" w:lineRule="exact"/>
        <w:rPr>
          <w:sz w:val="20"/>
          <w:szCs w:val="20"/>
          <w:color w:val="auto"/>
        </w:rPr>
      </w:pPr>
    </w:p>
    <w:p>
      <w:pPr>
        <w:ind w:left="6104"/>
        <w:spacing w:after="0"/>
        <w:tabs>
          <w:tab w:leader="none" w:pos="6644"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Edmund Nabrotzky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4225925</wp:posOffset>
            </wp:positionH>
            <wp:positionV relativeFrom="paragraph">
              <wp:posOffset>17145</wp:posOffset>
            </wp:positionV>
            <wp:extent cx="249428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color w:val="auto"/>
        </w:rPr>
        <w:t>Name: Edmund Nabrotzky</w:t>
      </w:r>
    </w:p>
    <w:p>
      <w:pPr>
        <w:spacing w:after="0" w:line="36" w:lineRule="exact"/>
        <w:rPr>
          <w:sz w:val="20"/>
          <w:szCs w:val="20"/>
          <w:color w:val="auto"/>
        </w:rPr>
      </w:pPr>
    </w:p>
    <w:p>
      <w:pPr>
        <w:ind w:left="6104"/>
        <w:spacing w:after="0"/>
        <w:tabs>
          <w:tab w:leader="none" w:pos="6644"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b w:val="1"/>
          <w:bCs w:val="1"/>
          <w:color w:val="auto"/>
        </w:rPr>
        <w:t>WHITE LION CAPITAL, LLC</w:t>
      </w:r>
    </w:p>
    <w:p>
      <w:pPr>
        <w:spacing w:after="0" w:line="229"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4225925</wp:posOffset>
            </wp:positionH>
            <wp:positionV relativeFrom="paragraph">
              <wp:posOffset>17145</wp:posOffset>
            </wp:positionV>
            <wp:extent cx="249428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color w:val="auto"/>
        </w:rPr>
        <w:t>Name: Yash Thukral, JD</w:t>
      </w:r>
    </w:p>
    <w:p>
      <w:pPr>
        <w:spacing w:after="0" w:line="36" w:lineRule="exact"/>
        <w:rPr>
          <w:sz w:val="20"/>
          <w:szCs w:val="20"/>
          <w:color w:val="auto"/>
        </w:rPr>
      </w:pPr>
    </w:p>
    <w:p>
      <w:pPr>
        <w:ind w:left="6104"/>
        <w:spacing w:after="0"/>
        <w:tabs>
          <w:tab w:leader="none" w:pos="6644"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417195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Edmund Nabrotzky, certify that:</w:t>
      </w:r>
    </w:p>
    <w:p>
      <w:pPr>
        <w:spacing w:after="0" w:line="22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CID Holdco,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6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intentionally omitted in accordance with SEC Release Nos. 34-47986 and 34-54942];</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Edmund Nabrotzky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Edmund Nabrotzky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Maddox,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CID Holdco,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6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intentionally omitted in accordance with SEC Release Nos. 34-47986 and 34-54942];</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Charles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Maddox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7"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CID HoldCo, Inc. (the “Company”) on Form 10-Q for the quarter ended March 31, 2026, as filed with the Securities and Exchange Commission on the date hereof (the “Report”), I, Edmund Nabrotzky,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right="200" w:firstLine="332"/>
        <w:spacing w:after="0" w:line="500" w:lineRule="auto"/>
        <w:tabs>
          <w:tab w:leader="none" w:pos="6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12, 2026</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Edmund Nabrotzky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Edmund Nabrotzky</w:t>
      </w:r>
    </w:p>
    <w:p>
      <w:pPr>
        <w:spacing w:after="0" w:line="27" w:lineRule="exact"/>
        <w:rPr>
          <w:sz w:val="20"/>
          <w:szCs w:val="20"/>
          <w:color w:val="auto"/>
        </w:rPr>
      </w:pPr>
    </w:p>
    <w:p>
      <w:pPr>
        <w:jc w:val="center"/>
        <w:ind w:right="8000"/>
        <w:spacing w:after="0"/>
        <w:tabs>
          <w:tab w:leader="none" w:pos="1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Director</w:t>
      </w:r>
    </w:p>
    <w:p>
      <w:pPr>
        <w:spacing w:after="0" w:line="9" w:lineRule="exact"/>
        <w:rPr>
          <w:sz w:val="20"/>
          <w:szCs w:val="20"/>
          <w:color w:val="auto"/>
        </w:rPr>
      </w:pPr>
    </w:p>
    <w:p>
      <w:pPr>
        <w:jc w:val="center"/>
        <w:ind w:right="80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CID HoldCo, Inc. (the “Company”) on Form 10-Q for the quarter ended March 31, 2026, as filed with the Securities and Exchange Commission on the date hereof (the “Report”), I, Charles Maddox, Chief Financial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right="200" w:firstLine="332"/>
        <w:spacing w:after="0" w:line="500" w:lineRule="auto"/>
        <w:tabs>
          <w:tab w:leader="none" w:pos="64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12, 2026</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Charles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Charles Maddox</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lvl w:ilvl="1">
      <w:lvlJc w:val="left"/>
      <w:lvlText w:val="%2."/>
      <w:numFmt w:val="lowerLetter"/>
      <w:start w:val="1"/>
    </w:lvl>
  </w:abstractNum>
  <w:abstractNum w:abstractNumId="9">
    <w:nsid w:val="66EF438D"/>
    <w:multiLevelType w:val="hybridMultilevel"/>
    <w:lvl w:ilvl="0">
      <w:lvlJc w:val="left"/>
      <w:lvlText w:val="%1."/>
      <w:numFmt w:val="decimal"/>
      <w:start w:val="3"/>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60" Type="http://schemas.openxmlformats.org/officeDocument/2006/relationships/hyperlink" Target="https://www.sec.gov/Archives/edgar/data/2033770/000121390025003518/ea0208059-15.htm#T201" TargetMode="External"/><Relationship Id="rId61" Type="http://schemas.openxmlformats.org/officeDocument/2006/relationships/hyperlink" Target="http://www.sec.gov/Archives/edgar/data/2033770/000121390025057972/ea024660701ex3-1_cidhold.htm" TargetMode="External"/><Relationship Id="rId62" Type="http://schemas.openxmlformats.org/officeDocument/2006/relationships/hyperlink" Target="http://www.sec.gov/Archives/edgar/data/2033770/000121390025057972/ea024660701ex3-2_cidhold.htm" TargetMode="External"/><Relationship Id="rId63" Type="http://schemas.openxmlformats.org/officeDocument/2006/relationships/hyperlink" Target="https://www.sec.gov/Archives/edgar/data/2033770/000121390024094562/ea020805905ex4-5_cidhold.htm" TargetMode="External"/><Relationship Id="rId64" Type="http://schemas.openxmlformats.org/officeDocument/2006/relationships/hyperlink" Target="https://www.sec.gov/Archives/edgar/data/2033770/000121390024094562/ea020805905ex4-6_cidhold.htm" TargetMode="External"/><Relationship Id="rId65" Type="http://schemas.openxmlformats.org/officeDocument/2006/relationships/hyperlink" Target="https://www.sec.gov/Archives/edgar/data/1885461/000121390021061326/ea151223ex4-1_shoulderup.htm" TargetMode="External"/><Relationship Id="rId66" Type="http://schemas.openxmlformats.org/officeDocument/2006/relationships/hyperlink" Target="http://www.sec.gov/Archives/edgar/data/2033770/000121390025057972/ea024660701ex4-4_cidhold.htm" TargetMode="External"/><Relationship Id="rId67" Type="http://schemas.openxmlformats.org/officeDocument/2006/relationships/hyperlink" Target="http://www.sec.gov/Archives/edgar/data/2033770/000121390026045664/ea028687601_ex4-1.htm" TargetMode="External"/><Relationship Id="rId68" Type="http://schemas.openxmlformats.org/officeDocument/2006/relationships/hyperlink" Target="https://www.sec.gov/Archives/edgar/data/2033770/000121390026009072/ea027425801ex10-8_cidhol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2026-05-12T15:31:50Z</dcterms:created>
  <dcterms:modified xsi:type="dcterms:W3CDTF">2026-05-12T15:31:50Z</dcterms:modified>
</cp:coreProperties>
</file>